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A2D1C" w14:textId="77777777" w:rsidR="00CC6D07" w:rsidRDefault="00CC6D07">
      <w:pPr>
        <w:pStyle w:val="TitleBoldNoUnderline"/>
      </w:pPr>
    </w:p>
    <w:p w14:paraId="7BF14F0E" w14:textId="77777777" w:rsidR="00CC6D07" w:rsidRDefault="00CC6D07">
      <w:pPr>
        <w:pStyle w:val="TitleBoldNoUnderline"/>
      </w:pPr>
      <w:r>
        <w:t>WILL</w:t>
      </w:r>
    </w:p>
    <w:p w14:paraId="7372BBA7" w14:textId="77777777" w:rsidR="00CC6D07" w:rsidRDefault="00CC6D07">
      <w:pPr>
        <w:pStyle w:val="TitleBoldNoUnderline"/>
      </w:pPr>
      <w:r>
        <w:t>OF</w:t>
      </w:r>
    </w:p>
    <w:p w14:paraId="1395E158" w14:textId="57D6C164" w:rsidR="00CC6D07" w:rsidRDefault="00FD6652">
      <w:pPr>
        <w:pStyle w:val="TitleBoldNoUnderline"/>
      </w:pPr>
      <w:r>
        <w:t>*** TESTATOR ***</w:t>
      </w:r>
    </w:p>
    <w:p w14:paraId="77F2A131" w14:textId="77777777" w:rsidR="00CC6D07" w:rsidRDefault="00CC6D07">
      <w:pPr>
        <w:pStyle w:val="BodyTextFirstIndent"/>
      </w:pPr>
    </w:p>
    <w:p w14:paraId="321EC5CB" w14:textId="10C06ADD" w:rsidR="00CC6D07" w:rsidRDefault="00CC6D07">
      <w:pPr>
        <w:pStyle w:val="BodyTextFirstIndent"/>
      </w:pPr>
      <w:r>
        <w:t xml:space="preserve">I, </w:t>
      </w:r>
      <w:r w:rsidR="00FD6652">
        <w:t>*** Testator ***</w:t>
      </w:r>
      <w:r>
        <w:t xml:space="preserve">, domiciled in New Mexico, revoke my prior wills and codicils and declare this instrument to be my will.  On the date this instrument is signed I am married to </w:t>
      </w:r>
      <w:r w:rsidR="00FD6652">
        <w:t>*** Spouse ***</w:t>
      </w:r>
      <w:r>
        <w:t xml:space="preserve">.  I have </w:t>
      </w:r>
      <w:r w:rsidR="00FD6652">
        <w:t>*** number of children ***</w:t>
      </w:r>
      <w:r>
        <w:t xml:space="preserve"> children who are </w:t>
      </w:r>
      <w:r w:rsidR="00FD6652">
        <w:t>*** childrens names ***</w:t>
      </w:r>
      <w:r>
        <w:t>.</w:t>
      </w:r>
    </w:p>
    <w:p w14:paraId="6196D349" w14:textId="77777777" w:rsidR="00CC6D07" w:rsidRDefault="00CC6D07">
      <w:pPr>
        <w:pStyle w:val="ArticleNo"/>
      </w:pPr>
    </w:p>
    <w:p w14:paraId="72348FDA" w14:textId="77777777" w:rsidR="00CC6D07" w:rsidRDefault="00CC6D07">
      <w:pPr>
        <w:pStyle w:val="TitleUnderlineNoBold"/>
      </w:pPr>
      <w:r>
        <w:t>My Testamentary Estate</w:t>
      </w:r>
    </w:p>
    <w:p w14:paraId="657F9375" w14:textId="77777777" w:rsidR="00CC6D07" w:rsidRDefault="00CC6D07">
      <w:pPr>
        <w:pStyle w:val="BodyTextFirstIndent"/>
      </w:pPr>
      <w:r>
        <w:t>My personal representative will take possession of my testamentary estate.  My personal representative will pay from the principal and income of any testamentary estate, other than insurance proceeds or other exempt assets, all my legally enforceable debts, the expenses of my last illness, my funeral</w:t>
      </w:r>
      <w:r w:rsidR="009E75B1">
        <w:t>,</w:t>
      </w:r>
      <w:r>
        <w:t xml:space="preserve"> burial</w:t>
      </w:r>
      <w:r w:rsidR="009E75B1">
        <w:t>, and cremation</w:t>
      </w:r>
      <w:r>
        <w:t xml:space="preserve"> expenses and the expenses of administering my estate in the amount my personal representative may deem proper and without regard to any limitation in the applicable law as to the amount of these expenses and without the necessity of prior court approval.  I do not require the payment of any debt before it is due, and my personal representative may renew and extend any debt existing at the time of my death, including any mortgage on my home.</w:t>
      </w:r>
    </w:p>
    <w:p w14:paraId="6A48D3AE" w14:textId="77777777" w:rsidR="00CC6D07" w:rsidRDefault="00CC6D07">
      <w:pPr>
        <w:pStyle w:val="ArticleNo"/>
      </w:pPr>
    </w:p>
    <w:p w14:paraId="06EDB4CC" w14:textId="77777777" w:rsidR="00CC6D07" w:rsidRDefault="00CC6D07">
      <w:pPr>
        <w:pStyle w:val="TitleUnderlineNoBold"/>
      </w:pPr>
      <w:r>
        <w:t>Disposition of My Testamentary Estate</w:t>
      </w:r>
    </w:p>
    <w:p w14:paraId="683DAFE1" w14:textId="77777777" w:rsidR="00CC6D07" w:rsidRDefault="00CC6D07">
      <w:pPr>
        <w:pStyle w:val="ParaSS"/>
        <w:tabs>
          <w:tab w:val="clear" w:pos="1080"/>
        </w:tabs>
      </w:pPr>
      <w:r>
        <w:rPr>
          <w:u w:val="single"/>
        </w:rPr>
        <w:t>Statement of Instruction</w:t>
      </w:r>
      <w:r>
        <w:t>.  I may provide a statement separate from this instrument indicating the disposition of some part of or all of my tangible personal property described in that statement to the persons designated in that statement.  The statement referred to in this paragraph will be a separate written instrument dated and signed by me.  I give the tangible personal property described in that statement to the persons designated in the statement.</w:t>
      </w:r>
    </w:p>
    <w:p w14:paraId="2191264E" w14:textId="3DDEFC3F" w:rsidR="00CC6D07" w:rsidRDefault="00CC6D07">
      <w:pPr>
        <w:pStyle w:val="ParaSS"/>
        <w:tabs>
          <w:tab w:val="clear" w:pos="1080"/>
        </w:tabs>
      </w:pPr>
      <w:r>
        <w:rPr>
          <w:u w:val="single"/>
        </w:rPr>
        <w:t>Tangible Personal Property</w:t>
      </w:r>
      <w:r>
        <w:t xml:space="preserve">.  I give all of my tangible personal property not otherwise disposed of to my spouse if my spouse survives me.  If my spouse does not survive me, I give this property to my lineal descendants who survive me, </w:t>
      </w:r>
      <w:r>
        <w:rPr>
          <w:u w:val="single"/>
        </w:rPr>
        <w:t>per</w:t>
      </w:r>
      <w:r>
        <w:t xml:space="preserve"> </w:t>
      </w:r>
      <w:r>
        <w:rPr>
          <w:u w:val="single"/>
        </w:rPr>
        <w:t>stirpes</w:t>
      </w:r>
      <w:r>
        <w:t xml:space="preserve"> by value (or as nearly as may be possible), to be physically divided among them as they may agree.  If my lineal descendants who are entitled to tangible personal property under this paragraph fail to agree on the physical division within the time my personal representative determines to be appropriate, my personal representative will determine the physical division of any property as to which there is no agreement, which determination will be conclusive upon all persons interested in my estate.  If my spouse and no lineal descendant of mine survives me, I give all such property as provided in the </w:t>
      </w:r>
      <w:r>
        <w:lastRenderedPageBreak/>
        <w:t>contingent gift provisions of this instrument.  My personal representative will have no duty to account for tangible personal property not in the possession of my personal representative.</w:t>
      </w:r>
    </w:p>
    <w:p w14:paraId="58773076" w14:textId="2E7FE0D8" w:rsidR="00CC6D07" w:rsidRDefault="00CC6D07">
      <w:pPr>
        <w:pStyle w:val="ParaSS"/>
        <w:tabs>
          <w:tab w:val="clear" w:pos="1080"/>
        </w:tabs>
      </w:pPr>
      <w:r>
        <w:rPr>
          <w:u w:val="single"/>
        </w:rPr>
        <w:t>Specific Bequest</w:t>
      </w:r>
      <w:r>
        <w:t xml:space="preserve">.  </w:t>
      </w:r>
      <w:r w:rsidR="00FD6652">
        <w:t>*** amount of bequest ***</w:t>
      </w:r>
    </w:p>
    <w:p w14:paraId="446DC728" w14:textId="402DD0B9" w:rsidR="00CC6D07" w:rsidRDefault="00CC6D07">
      <w:pPr>
        <w:pStyle w:val="ParaSS"/>
        <w:tabs>
          <w:tab w:val="clear" w:pos="1080"/>
        </w:tabs>
      </w:pPr>
      <w:r>
        <w:rPr>
          <w:u w:val="single"/>
        </w:rPr>
        <w:t>Residue</w:t>
      </w:r>
      <w:r>
        <w:t xml:space="preserve">.  I give the residue of my testamentary estate to </w:t>
      </w:r>
      <w:r w:rsidR="00FD6652">
        <w:t xml:space="preserve">my spouse, if my spouse survives me.  If my spouse does not survive me, I give the residue of my testamentary estate to </w:t>
      </w:r>
      <w:r>
        <w:t xml:space="preserve">the trustee of the </w:t>
      </w:r>
      <w:r w:rsidR="00FD6652">
        <w:t>*** Testator ***</w:t>
      </w:r>
      <w:r>
        <w:t xml:space="preserve"> Family Trust to be held, administered and distributed as provided in this instrument.</w:t>
      </w:r>
      <w:r w:rsidR="00FD6652">
        <w:t xml:space="preserve"> </w:t>
      </w:r>
    </w:p>
    <w:p w14:paraId="427E1117" w14:textId="207E67D5" w:rsidR="00CC6D07" w:rsidRDefault="00CC6D07">
      <w:pPr>
        <w:pStyle w:val="ParaSS"/>
        <w:tabs>
          <w:tab w:val="clear" w:pos="1080"/>
        </w:tabs>
      </w:pPr>
      <w:r>
        <w:rPr>
          <w:u w:val="single"/>
        </w:rPr>
        <w:t>Contingent Gift</w:t>
      </w:r>
      <w:r>
        <w:t>.  If any property in any fiduciary estate created by this instrument is not disposed of as otherwise provided, I give the property which is not effectively disposed of:</w:t>
      </w:r>
    </w:p>
    <w:p w14:paraId="796264BC" w14:textId="77777777" w:rsidR="00CC6D07" w:rsidRDefault="00CC6D07">
      <w:pPr>
        <w:pStyle w:val="ParaSS"/>
        <w:numPr>
          <w:ilvl w:val="1"/>
          <w:numId w:val="20"/>
        </w:numPr>
        <w:tabs>
          <w:tab w:val="clear" w:pos="1800"/>
        </w:tabs>
      </w:pPr>
      <w:r>
        <w:t>One-half to the persons and in the proportions as the property would be distributed under the laws of the state of New Mexico then in force had I then died intestate, unmarried, a resident of the state of New Mexico and owning only that property; and</w:t>
      </w:r>
    </w:p>
    <w:p w14:paraId="4EBF8824" w14:textId="2C62097B" w:rsidR="00CC6D07" w:rsidRDefault="00CC6D07">
      <w:pPr>
        <w:pStyle w:val="ParaSS"/>
        <w:numPr>
          <w:ilvl w:val="1"/>
          <w:numId w:val="20"/>
        </w:numPr>
        <w:tabs>
          <w:tab w:val="clear" w:pos="1800"/>
        </w:tabs>
      </w:pPr>
      <w:r>
        <w:t>One-half to the persons and in the proportions as the property would be distributed under the laws of the state of New Mexico then in force had my spouse then died intestate, unmarried, a resident of the state of New Mexico and owning only that property.</w:t>
      </w:r>
    </w:p>
    <w:p w14:paraId="24D6B30F" w14:textId="0E6B6B29" w:rsidR="00FD6652" w:rsidRDefault="00FD6652" w:rsidP="00FD6652">
      <w:pPr>
        <w:pStyle w:val="ArticleNo"/>
      </w:pPr>
    </w:p>
    <w:p w14:paraId="051A99D0" w14:textId="49FAAF21" w:rsidR="00CC6D07" w:rsidRDefault="00CC6D07">
      <w:pPr>
        <w:pStyle w:val="ArticleNo"/>
      </w:pPr>
    </w:p>
    <w:p w14:paraId="688B681F" w14:textId="004F8C55" w:rsidR="00CC6D07" w:rsidRDefault="00CC6D07">
      <w:pPr>
        <w:pStyle w:val="TitleUnderlineNoBold"/>
      </w:pPr>
      <w:r>
        <w:t xml:space="preserve">Disposition of </w:t>
      </w:r>
      <w:r w:rsidR="00FD6652">
        <w:t>*** Testator ***</w:t>
      </w:r>
      <w:r>
        <w:t>Family Trust</w:t>
      </w:r>
    </w:p>
    <w:p w14:paraId="472669DE" w14:textId="240030CF" w:rsidR="00CC6D07" w:rsidRDefault="00CC6D07">
      <w:pPr>
        <w:pStyle w:val="ParaSS"/>
        <w:numPr>
          <w:ilvl w:val="0"/>
          <w:numId w:val="25"/>
        </w:numPr>
        <w:tabs>
          <w:tab w:val="clear" w:pos="1080"/>
        </w:tabs>
      </w:pPr>
      <w:r>
        <w:rPr>
          <w:u w:val="single"/>
        </w:rPr>
        <w:t>Name of Trust</w:t>
      </w:r>
      <w:r>
        <w:t xml:space="preserve">.  This trust will be referred to as the </w:t>
      </w:r>
      <w:r w:rsidR="00FD6652">
        <w:t>*** Testator ***</w:t>
      </w:r>
      <w:r>
        <w:t xml:space="preserve"> Family Trust.</w:t>
      </w:r>
    </w:p>
    <w:p w14:paraId="27B8461D" w14:textId="5D69D174" w:rsidR="00CC6D07" w:rsidRDefault="00CC6D07" w:rsidP="00661A16">
      <w:pPr>
        <w:pStyle w:val="ParaSS"/>
        <w:numPr>
          <w:ilvl w:val="0"/>
          <w:numId w:val="25"/>
        </w:numPr>
        <w:tabs>
          <w:tab w:val="clear" w:pos="1080"/>
        </w:tabs>
      </w:pPr>
      <w:r w:rsidRPr="00661A16">
        <w:rPr>
          <w:u w:val="single"/>
        </w:rPr>
        <w:t>If My Spouse Survives</w:t>
      </w:r>
      <w:r>
        <w:t>.  If my spouse survives me:</w:t>
      </w:r>
    </w:p>
    <w:p w14:paraId="00F62C24" w14:textId="023C88DF" w:rsidR="00CC6D07" w:rsidRDefault="00CC6D07" w:rsidP="00661A16">
      <w:pPr>
        <w:pStyle w:val="ParaSS"/>
        <w:tabs>
          <w:tab w:val="clear" w:pos="1080"/>
        </w:tabs>
      </w:pPr>
      <w:r w:rsidRPr="00661A16">
        <w:rPr>
          <w:u w:val="single"/>
        </w:rPr>
        <w:t>After My Spouse’s Death</w:t>
      </w:r>
      <w:r>
        <w:t>.  Upon the death of my spouse, or upon my death if my spouse dies before me,</w:t>
      </w:r>
      <w:r w:rsidR="00FD6652">
        <w:t xml:space="preserve"> </w:t>
      </w:r>
      <w:r>
        <w:t xml:space="preserve">the trustee will divide the trust estate of the </w:t>
      </w:r>
      <w:r w:rsidR="00FD6652">
        <w:t>*** Testator ***</w:t>
      </w:r>
      <w:r>
        <w:t xml:space="preserve"> Family Trust in equal shares among my then living lineal descendants, </w:t>
      </w:r>
      <w:r w:rsidRPr="00661A16">
        <w:rPr>
          <w:u w:val="single"/>
        </w:rPr>
        <w:t>per</w:t>
      </w:r>
      <w:r>
        <w:t xml:space="preserve"> </w:t>
      </w:r>
      <w:r w:rsidRPr="00661A16">
        <w:rPr>
          <w:u w:val="single"/>
        </w:rPr>
        <w:t>stirpes</w:t>
      </w:r>
      <w:r>
        <w:t xml:space="preserve">.  Each share of the trust estate allocated to a person who has then attained the age of </w:t>
      </w:r>
      <w:r w:rsidR="00FD6652">
        <w:t>25</w:t>
      </w:r>
      <w:r>
        <w:t xml:space="preserve"> years will be distributed to that person free of further trust.  The trustee will continue to hold each share of the trust estate allocated to a person who has not then attained the age of </w:t>
      </w:r>
      <w:r w:rsidR="00FD6652">
        <w:t>25</w:t>
      </w:r>
      <w:r>
        <w:t xml:space="preserve"> years in a separate share of the </w:t>
      </w:r>
      <w:r w:rsidR="00FD6652">
        <w:t>*** Testator ***</w:t>
      </w:r>
      <w:r>
        <w:t xml:space="preserve"> Family Trust for the use and benefit of that person, separately held, administered and distributed as provided in this instrument.  If no lineal descendent of mine is then living, the trustee will distribute the remaining trust estate as provided by the contingent gift provisions of this instrument.</w:t>
      </w:r>
    </w:p>
    <w:p w14:paraId="7F0824BC" w14:textId="6640085B" w:rsidR="00CC6D07" w:rsidRDefault="00CC6D07" w:rsidP="00A651D6">
      <w:pPr>
        <w:pStyle w:val="ParaSS"/>
        <w:numPr>
          <w:ilvl w:val="1"/>
          <w:numId w:val="20"/>
        </w:numPr>
        <w:tabs>
          <w:tab w:val="clear" w:pos="1800"/>
        </w:tabs>
      </w:pPr>
      <w:r>
        <w:rPr>
          <w:u w:val="single"/>
        </w:rPr>
        <w:t>Income</w:t>
      </w:r>
      <w:r>
        <w:t xml:space="preserve">.  With respect to each separate share, the trustee will distribute to or for the benefit of the beneficiary only so much of the net income as the trustee determines to be necessary for the beneficiary’s health, education, maintenance or support; in making these distributions, the trustee may (but need not) take into consideration any other financial resources known to the trustee to be readily available to the beneficiary.  </w:t>
      </w:r>
    </w:p>
    <w:p w14:paraId="76764152" w14:textId="77777777" w:rsidR="00CC6D07" w:rsidRDefault="00CC6D07" w:rsidP="00A651D6">
      <w:pPr>
        <w:pStyle w:val="ParaSS"/>
        <w:numPr>
          <w:ilvl w:val="1"/>
          <w:numId w:val="20"/>
        </w:numPr>
        <w:tabs>
          <w:tab w:val="clear" w:pos="1800"/>
        </w:tabs>
      </w:pPr>
      <w:r>
        <w:rPr>
          <w:u w:val="single"/>
        </w:rPr>
        <w:lastRenderedPageBreak/>
        <w:t>Principal</w:t>
      </w:r>
      <w:r>
        <w:t>.  With respect to each separate share, the trustee may distribute to or for the benefit of the beneficiary any part of the principal which is necessary for the beneficiary’s health, education, maintenance or support.  In making these distributions, the trustee may (but need not) take into consideration any other financial resources known to the trustee to be readily available to the beneficiary.</w:t>
      </w:r>
    </w:p>
    <w:p w14:paraId="31B4EA4A" w14:textId="74113121" w:rsidR="00CC6D07" w:rsidRDefault="00CC6D07" w:rsidP="00A651D6">
      <w:pPr>
        <w:pStyle w:val="ParaSS"/>
        <w:numPr>
          <w:ilvl w:val="1"/>
          <w:numId w:val="20"/>
        </w:numPr>
        <w:tabs>
          <w:tab w:val="clear" w:pos="1800"/>
        </w:tabs>
      </w:pPr>
      <w:r>
        <w:rPr>
          <w:u w:val="single"/>
        </w:rPr>
        <w:t>Withdrawals by Beneficiary</w:t>
      </w:r>
      <w:r>
        <w:t xml:space="preserve">.  When a beneficiary of a separate share attains the age of </w:t>
      </w:r>
      <w:r w:rsidR="00FD6652">
        <w:t>21</w:t>
      </w:r>
      <w:r>
        <w:t xml:space="preserve"> years, the beneficiary may request in writing and receive not more than one-third of the then remaining principal balance of the share estate of that beneficiary’s separate share.  When a beneficiary of a separate share attains the age of </w:t>
      </w:r>
      <w:r w:rsidR="00FD6652">
        <w:t>23</w:t>
      </w:r>
      <w:r>
        <w:t xml:space="preserve"> years, the beneficiary may request in writing and receive not more than one-half of the then remaining principal balance of the share estate of that beneficiary’s separate share.  A failure or delay on the part of a beneficiary to request or receive one or more fractional distributions will not prejudice that beneficiary’s right to request and receive a distribution representing such fractional distribution at any time later.</w:t>
      </w:r>
    </w:p>
    <w:p w14:paraId="048CEA55" w14:textId="264E5D29" w:rsidR="00CC6D07" w:rsidRDefault="00CC6D07" w:rsidP="00A651D6">
      <w:pPr>
        <w:pStyle w:val="ParaSS"/>
        <w:numPr>
          <w:ilvl w:val="1"/>
          <w:numId w:val="20"/>
        </w:numPr>
        <w:tabs>
          <w:tab w:val="clear" w:pos="1800"/>
        </w:tabs>
      </w:pPr>
      <w:r>
        <w:rPr>
          <w:u w:val="single"/>
        </w:rPr>
        <w:t>Termination</w:t>
      </w:r>
      <w:r>
        <w:t xml:space="preserve">.  When a beneficiary of a separate share attains the age of </w:t>
      </w:r>
      <w:r w:rsidR="00FD6652">
        <w:t>25</w:t>
      </w:r>
      <w:r>
        <w:t xml:space="preserve"> years, the trustee will make final distribution to the beneficiary of the balance of the share estate of that beneficiary’s separate share and such beneficiary’s separate share will terminate.</w:t>
      </w:r>
    </w:p>
    <w:p w14:paraId="2D06835D" w14:textId="21A3F745" w:rsidR="00CC6D07" w:rsidRDefault="00CC6D07" w:rsidP="00A651D6">
      <w:pPr>
        <w:pStyle w:val="ParaSS"/>
        <w:numPr>
          <w:ilvl w:val="1"/>
          <w:numId w:val="20"/>
        </w:numPr>
        <w:tabs>
          <w:tab w:val="clear" w:pos="1800"/>
        </w:tabs>
      </w:pPr>
      <w:r>
        <w:rPr>
          <w:u w:val="single"/>
        </w:rPr>
        <w:t>Death of Beneficiary</w:t>
      </w:r>
      <w:r>
        <w:t xml:space="preserve">.  Upon the death of a beneficiary prior to becoming entitled to receive final distribution of the share estate of the beneficiary’s separate share estate, the trustee will distribute the property then comprising the share estate of that beneficiary’s separate share:  (i)  to the beneficiary’s then living lineal descendants, </w:t>
      </w:r>
      <w:r>
        <w:rPr>
          <w:u w:val="single"/>
        </w:rPr>
        <w:t>per</w:t>
      </w:r>
      <w:r>
        <w:t xml:space="preserve"> </w:t>
      </w:r>
      <w:r>
        <w:rPr>
          <w:u w:val="single"/>
        </w:rPr>
        <w:t>stirpes</w:t>
      </w:r>
      <w:r>
        <w:t>, and if none</w:t>
      </w:r>
      <w:r w:rsidR="00FD6652">
        <w:t>,</w:t>
      </w:r>
      <w:r>
        <w:t xml:space="preserve"> (ii) to my then living lineal descendants, </w:t>
      </w:r>
      <w:r>
        <w:rPr>
          <w:u w:val="single"/>
        </w:rPr>
        <w:t>per</w:t>
      </w:r>
      <w:r>
        <w:t xml:space="preserve"> </w:t>
      </w:r>
      <w:r>
        <w:rPr>
          <w:u w:val="single"/>
        </w:rPr>
        <w:t>stirpes</w:t>
      </w:r>
      <w:r>
        <w:t>, and if none</w:t>
      </w:r>
      <w:r w:rsidR="00FD6652">
        <w:t>,</w:t>
      </w:r>
      <w:r>
        <w:t xml:space="preserve"> (i</w:t>
      </w:r>
      <w:r w:rsidR="00FD6652">
        <w:t>ii</w:t>
      </w:r>
      <w:r>
        <w:t>) in accordance with the contingent gift provisions of this instrument.  Any unappointed assets to be distributed outright to a person for whose benefit a separate share is then being administered under this instrument will be added to the principal of that person’s separate share.</w:t>
      </w:r>
    </w:p>
    <w:p w14:paraId="53A66A81" w14:textId="1ECDF3DE" w:rsidR="00CC6D07" w:rsidRDefault="00CC6D07">
      <w:pPr>
        <w:pStyle w:val="ArticleNo"/>
      </w:pPr>
    </w:p>
    <w:p w14:paraId="3250AD68" w14:textId="77777777" w:rsidR="00CC6D07" w:rsidRDefault="00CC6D07">
      <w:pPr>
        <w:pStyle w:val="TitleUnderlineNoBold"/>
      </w:pPr>
      <w:r>
        <w:t>Appointments</w:t>
      </w:r>
    </w:p>
    <w:p w14:paraId="5C1940C0" w14:textId="3DB2CABE" w:rsidR="00CC6D07" w:rsidRDefault="00CC6D07" w:rsidP="00AB4EBE">
      <w:pPr>
        <w:pStyle w:val="ParaSS"/>
        <w:numPr>
          <w:ilvl w:val="0"/>
          <w:numId w:val="37"/>
        </w:numPr>
        <w:tabs>
          <w:tab w:val="clear" w:pos="1080"/>
        </w:tabs>
      </w:pPr>
      <w:r w:rsidRPr="00AB4EBE">
        <w:rPr>
          <w:u w:val="single"/>
        </w:rPr>
        <w:t>Personal Representative</w:t>
      </w:r>
      <w:r>
        <w:t xml:space="preserve">.  I appoint the first of the following in the order named as personal representative of my estate:  </w:t>
      </w:r>
      <w:r w:rsidR="00FD6652">
        <w:t>*** personal representatives ***</w:t>
      </w:r>
      <w:r>
        <w:t>; the person, bank or trust company appointed by a court having general jurisdiction over the geographic location in which I reside at the time of my death.  If any personal representative should fail to qualify or cease to serve, for any reason, the next of them who is willing and available will serve.</w:t>
      </w:r>
    </w:p>
    <w:p w14:paraId="4FD5FB03" w14:textId="675B836A" w:rsidR="00CC6D07" w:rsidRDefault="00CC6D07" w:rsidP="00661A16">
      <w:pPr>
        <w:pStyle w:val="ParaSS"/>
        <w:tabs>
          <w:tab w:val="clear" w:pos="1080"/>
        </w:tabs>
      </w:pPr>
      <w:r w:rsidRPr="00661A16">
        <w:rPr>
          <w:u w:val="single"/>
        </w:rPr>
        <w:t>Trustee</w:t>
      </w:r>
      <w:r>
        <w:t xml:space="preserve">.  I appoint the first of the following in the order named as trustee of each trust created by this instrument:  </w:t>
      </w:r>
      <w:r w:rsidR="00FD6652">
        <w:t>*** trustees ***</w:t>
      </w:r>
      <w:r>
        <w:t>; the person, bank or trust company appointed by a court having general jurisdiction over the geographic location in which I reside at the time of my death.  If any trustee should fail to qualify or cease to serve, for any reason other than the removal of the trustee with a successor trustee appointed after the removal, the next of them who is willing and available will serve.</w:t>
      </w:r>
    </w:p>
    <w:p w14:paraId="5F0B8631" w14:textId="5E1142A5" w:rsidR="00CC6D07" w:rsidRDefault="00CC6D07" w:rsidP="00661A16">
      <w:pPr>
        <w:pStyle w:val="ParaSS"/>
        <w:tabs>
          <w:tab w:val="clear" w:pos="1080"/>
        </w:tabs>
      </w:pPr>
      <w:r>
        <w:rPr>
          <w:u w:val="single"/>
        </w:rPr>
        <w:t>Guardian for Minors</w:t>
      </w:r>
      <w:r>
        <w:t xml:space="preserve">.  If my spouse predeceases me or for any other reason does not act as guardian of the persons of our minor children, or survives me and dies without making </w:t>
      </w:r>
      <w:r>
        <w:lastRenderedPageBreak/>
        <w:t xml:space="preserve">provisions for the custody of our minor children, I appoint the first of the following in the order named as guardian of the person and, if need be, conservator of the property of any children of mine who are minors at the time of my death:  </w:t>
      </w:r>
      <w:r w:rsidR="00FD6652">
        <w:t>*** guardians ***</w:t>
      </w:r>
      <w:r>
        <w:t>.  If any guardian should fail to qualify or cease to serve, for any reason, the next of them who is willing and available will serve.</w:t>
      </w:r>
    </w:p>
    <w:p w14:paraId="5827F96A" w14:textId="57369A38" w:rsidR="00CC6D07" w:rsidRDefault="00CC6D07" w:rsidP="00661A16">
      <w:pPr>
        <w:pStyle w:val="ParaSS"/>
        <w:tabs>
          <w:tab w:val="clear" w:pos="1080"/>
        </w:tabs>
      </w:pPr>
      <w:r>
        <w:rPr>
          <w:u w:val="single"/>
        </w:rPr>
        <w:t>Resignation and Replacement</w:t>
      </w:r>
      <w:r>
        <w:t>.  Any fiduciary may resign without court approval by written notice to a co-fiduciary if there is one, and if not, to the successor fiduciary.  A resigning fiduciary will serve until a successor fiduciary executes a written acceptance of the appointment, after which, the fiduciary’s duties and responsibilities under this instrument will terminate and the resigning fiduciary will be relieved and discharged from all obligations, responsibilities and liabilities hereunder at that time except to the extent of any willful misconduct or gross negligence of the fiduciary during the periods of service.  A resigning fiduciary may petition any appropriate court at any time for the appointment of a successor fiduciary.</w:t>
      </w:r>
    </w:p>
    <w:p w14:paraId="3B398307" w14:textId="483730C1" w:rsidR="00CC6D07" w:rsidRDefault="00CC6D07" w:rsidP="00661A16">
      <w:pPr>
        <w:pStyle w:val="ParaSS"/>
        <w:tabs>
          <w:tab w:val="clear" w:pos="1080"/>
        </w:tabs>
      </w:pPr>
      <w:r>
        <w:rPr>
          <w:u w:val="single"/>
        </w:rPr>
        <w:t>Compensation</w:t>
      </w:r>
      <w:r>
        <w:t>.  Each fiduciary will be entitled to reasonable compensation for services.  Any fiduciary will also be entitled to reimbursement for reasonable expenses incurred on behalf of the fiduciary estate.</w:t>
      </w:r>
    </w:p>
    <w:p w14:paraId="28647F8F" w14:textId="77777777" w:rsidR="00CC6D07" w:rsidRDefault="00CC6D07" w:rsidP="00661A16">
      <w:pPr>
        <w:pStyle w:val="ParaSS"/>
        <w:tabs>
          <w:tab w:val="clear" w:pos="1080"/>
        </w:tabs>
      </w:pPr>
      <w:r>
        <w:rPr>
          <w:u w:val="single"/>
        </w:rPr>
        <w:t>Accountings</w:t>
      </w:r>
      <w:r>
        <w:t>.  Each fiduciary will keep accurate books of account with respect to each fiduciary estate.  At least annually and upon resignation, a fiduciary will render an account of the administration of each fiduciary estate to each person who requests an account and who is eligible to receive any income.  The fiduciary will provide all information necessary to enable each beneficiary to prepare federal and state income tax returns.</w:t>
      </w:r>
    </w:p>
    <w:p w14:paraId="327E4686" w14:textId="77777777" w:rsidR="00CC6D07" w:rsidRDefault="00CC6D07" w:rsidP="00661A16">
      <w:pPr>
        <w:pStyle w:val="ParaSS"/>
        <w:tabs>
          <w:tab w:val="clear" w:pos="1080"/>
        </w:tabs>
      </w:pPr>
      <w:r>
        <w:rPr>
          <w:u w:val="single"/>
        </w:rPr>
        <w:t>Transfers to Successor Fiduciary</w:t>
      </w:r>
      <w:r>
        <w:t>.  Upon the execution by a successor fiduciary of a written acceptance of the fiduciary estate, the successor fiduciary, without further act, will be vested with all the estate, title, powers, duties, discretions and immunities granted to the previous fiduciary.  The previous fiduciary will, however, execute and deliver to the successor fiduciary assignments or other instruments as may be necessary or advisable.  No successor fiduciary will be charged with any default occurring before becoming a fiduciary.</w:t>
      </w:r>
    </w:p>
    <w:p w14:paraId="316457A6" w14:textId="77777777" w:rsidR="00CC6D07" w:rsidRDefault="00CC6D07" w:rsidP="00661A16">
      <w:pPr>
        <w:pStyle w:val="ParaSS"/>
        <w:tabs>
          <w:tab w:val="clear" w:pos="1080"/>
        </w:tabs>
      </w:pPr>
      <w:r>
        <w:rPr>
          <w:u w:val="single"/>
        </w:rPr>
        <w:t>Reorganization of Corporate Fiduciary</w:t>
      </w:r>
      <w:r>
        <w:t>.  If any corporate fiduciary will at any time be consolidated with, merged into, purchased by or in any other manner become a part of another corporation, then the consolidated corporation or the corporation into which it has been merged or by which it has been purchased or a part of which it has in any manner become, will, without further act be substituted in the place of the corporate fiduciary and will have all of the rights and powers and be subject to all of the duties and liabilities of the corporate fiduciary.</w:t>
      </w:r>
    </w:p>
    <w:p w14:paraId="56497F68" w14:textId="77777777" w:rsidR="00CC6D07" w:rsidRDefault="00CC6D07" w:rsidP="00661A16">
      <w:pPr>
        <w:pStyle w:val="ParaSS"/>
        <w:tabs>
          <w:tab w:val="clear" w:pos="1080"/>
        </w:tabs>
      </w:pPr>
      <w:r>
        <w:rPr>
          <w:u w:val="single"/>
        </w:rPr>
        <w:t>Standard of Care</w:t>
      </w:r>
      <w:r>
        <w:t>.  A fiduciary will be deemed to have acted within the scope of the authority of the fiduciary, to have exercised reasonable care, diligence and prudence, and to have acted impartially as to all persons interested unless the contrary is proved by affirmative evidence.  In the absence of proof, a fiduciary will not be liable for loss arising from depreciation or shrinkage in value of any property authorized to be held or acquired.  No bond will be required of any person, bank or trust company serving as fiduciary.</w:t>
      </w:r>
    </w:p>
    <w:p w14:paraId="5CA99504" w14:textId="77777777" w:rsidR="00CC6D07" w:rsidRDefault="00CC6D07">
      <w:pPr>
        <w:pStyle w:val="ArticleNo"/>
      </w:pPr>
    </w:p>
    <w:p w14:paraId="70C6AB4B" w14:textId="77777777" w:rsidR="00CC6D07" w:rsidRDefault="00CC6D07">
      <w:pPr>
        <w:pStyle w:val="TitleUnderlineNoBold"/>
      </w:pPr>
      <w:r>
        <w:t>Management Provisions</w:t>
      </w:r>
    </w:p>
    <w:p w14:paraId="10A64B38" w14:textId="77777777" w:rsidR="00CC6D07" w:rsidRDefault="00CC6D07">
      <w:pPr>
        <w:pStyle w:val="ParaSS"/>
        <w:numPr>
          <w:ilvl w:val="0"/>
          <w:numId w:val="27"/>
        </w:numPr>
        <w:tabs>
          <w:tab w:val="clear" w:pos="1080"/>
        </w:tabs>
      </w:pPr>
      <w:r>
        <w:rPr>
          <w:u w:val="single"/>
        </w:rPr>
        <w:t>Powers</w:t>
      </w:r>
      <w:r>
        <w:t>.  Each fiduciary acting under this instrument (i) may act free from control of any court, (ii) may act in the sole discretion of the fiduciary, (iii) will have the express and implied powers conferred upon fiduciary by the law applicable to the administration of the fiduciary estate, and (iv) will have the powers expressed in this instrument.  All of these powers are to be construed in the broadest possible manner and include, in addition to all other powers conferred by law and by this instrument, without limitation, the following powers:</w:t>
      </w:r>
    </w:p>
    <w:p w14:paraId="56A05745" w14:textId="77777777" w:rsidR="00CC6D07" w:rsidRDefault="00CC6D07">
      <w:pPr>
        <w:pStyle w:val="ParaSS"/>
        <w:numPr>
          <w:ilvl w:val="1"/>
          <w:numId w:val="20"/>
        </w:numPr>
        <w:tabs>
          <w:tab w:val="clear" w:pos="1800"/>
        </w:tabs>
      </w:pPr>
      <w:r>
        <w:rPr>
          <w:u w:val="single"/>
        </w:rPr>
        <w:t>Sale or Exchange</w:t>
      </w:r>
      <w:r>
        <w:t>.  To hold, manage, sell, exchange, lease, make contracts for any term, including beyond the duration of the fiduciary estate and to convey or transfer the property comprising the fiduciary estate, including real property or any interest in real property, at the prices and upon the terms and conditions and in the manner as the fiduciary determines.</w:t>
      </w:r>
    </w:p>
    <w:p w14:paraId="6040C72F" w14:textId="77777777" w:rsidR="00CC6D07" w:rsidRDefault="00CC6D07">
      <w:pPr>
        <w:pStyle w:val="ParaSS"/>
        <w:numPr>
          <w:ilvl w:val="1"/>
          <w:numId w:val="20"/>
        </w:numPr>
        <w:tabs>
          <w:tab w:val="clear" w:pos="1800"/>
        </w:tabs>
      </w:pPr>
      <w:r>
        <w:rPr>
          <w:u w:val="single"/>
        </w:rPr>
        <w:t>Investments</w:t>
      </w:r>
      <w:r>
        <w:t>.  To retain without liability for depreciation or loss any investments originally received or purchased from me or from my fiduciary estate, and to invest and reinvest all or any part of any fiduciary estate in real property or any interest in real property, certificates of deposit or other interest-bearing financial accounts or investments, stocks (both preferred and common), bonds, notes and other obligations, shares in real property trusts, mutual funds, and in any other kind of property, including common funds operated by a corporate trustee, despite the proportion that any investment or any class or type of investment of similar character may bear to the entire value of the fiduciary estate, and without being limited to the classes of investments that a trustee is authorized by law or any rule of court to make.  The fiduciary will exercise reasonable care with respect to investments and will act always with due regard to the best interests of the beneficiaries of the fiduciary estate.</w:t>
      </w:r>
    </w:p>
    <w:p w14:paraId="30263D1A" w14:textId="77777777" w:rsidR="00CC6D07" w:rsidRDefault="00CC6D07">
      <w:pPr>
        <w:pStyle w:val="ParaSS"/>
        <w:numPr>
          <w:ilvl w:val="1"/>
          <w:numId w:val="20"/>
        </w:numPr>
        <w:tabs>
          <w:tab w:val="clear" w:pos="1800"/>
        </w:tabs>
      </w:pPr>
      <w:r>
        <w:rPr>
          <w:u w:val="single"/>
        </w:rPr>
        <w:t>Borrowing</w:t>
      </w:r>
      <w:r>
        <w:t>.  To make advances and to borrow money upon any terms and conditions as the fiduciary determines to be reasonable (including from itself in its corporate capacity in the case of a corporate fiduciary); to issue promissory notes and to secure their payment by mortgaging or pledging any part of the fiduciary estate (including to itself in its corporate capacity in the case of a corporate fiduciary); to guarantee obligations of beneficiaries; to buy, sell, and trade in securities of any nature, including short sales or on margin, and for those purposes to maintain and operate margin accounts with brokers, and to pledge any securities held or purchased by brokers as security for loans and advances made to the trustee.</w:t>
      </w:r>
    </w:p>
    <w:p w14:paraId="4602DEEB" w14:textId="77777777" w:rsidR="00CC6D07" w:rsidRDefault="00CC6D07">
      <w:pPr>
        <w:pStyle w:val="ParaSS"/>
        <w:numPr>
          <w:ilvl w:val="1"/>
          <w:numId w:val="20"/>
        </w:numPr>
        <w:tabs>
          <w:tab w:val="clear" w:pos="1800"/>
        </w:tabs>
      </w:pPr>
      <w:r>
        <w:rPr>
          <w:u w:val="single"/>
        </w:rPr>
        <w:t>Debts and Expenses</w:t>
      </w:r>
      <w:r>
        <w:t>.  To compromise, release, and discharge debts and claims of every kind, nature or description owing to or by the fiduciary estate; to pay taxes, expenses, costs and charges incurred or arising with respect to the administration and management of a fiduciary estate.</w:t>
      </w:r>
    </w:p>
    <w:p w14:paraId="772EBA5B" w14:textId="77777777" w:rsidR="00AB4EBE" w:rsidRDefault="00AB4EBE">
      <w:pPr>
        <w:pStyle w:val="ParaSS"/>
        <w:numPr>
          <w:ilvl w:val="1"/>
          <w:numId w:val="20"/>
        </w:numPr>
        <w:tabs>
          <w:tab w:val="clear" w:pos="1800"/>
        </w:tabs>
      </w:pPr>
      <w:r>
        <w:rPr>
          <w:u w:val="single"/>
        </w:rPr>
        <w:t>Digital Assets</w:t>
      </w:r>
      <w:r>
        <w:t>:  To access, handle, distribute and dispose of my digital assets.</w:t>
      </w:r>
    </w:p>
    <w:p w14:paraId="56B01EDB" w14:textId="77777777" w:rsidR="00CC6D07" w:rsidRDefault="00CC6D07">
      <w:pPr>
        <w:pStyle w:val="ParaSS"/>
        <w:numPr>
          <w:ilvl w:val="1"/>
          <w:numId w:val="20"/>
        </w:numPr>
        <w:tabs>
          <w:tab w:val="clear" w:pos="1800"/>
        </w:tabs>
      </w:pPr>
      <w:r>
        <w:rPr>
          <w:u w:val="single"/>
        </w:rPr>
        <w:t>Real Property Management</w:t>
      </w:r>
      <w:r>
        <w:t>.  To improve or develop real property; to construct, alter or repair buildings or structures; to settle boundary lines; to grant easements and other rights; to partition and to join with co-owners and others in dealing with real property.</w:t>
      </w:r>
    </w:p>
    <w:p w14:paraId="3D9CA3AE" w14:textId="77777777" w:rsidR="00CC6D07" w:rsidRDefault="00CC6D07">
      <w:pPr>
        <w:pStyle w:val="ParaSS"/>
        <w:numPr>
          <w:ilvl w:val="1"/>
          <w:numId w:val="20"/>
        </w:numPr>
        <w:tabs>
          <w:tab w:val="clear" w:pos="1800"/>
        </w:tabs>
      </w:pPr>
      <w:r>
        <w:rPr>
          <w:u w:val="single"/>
        </w:rPr>
        <w:lastRenderedPageBreak/>
        <w:t>Corporate Stock</w:t>
      </w:r>
      <w:r>
        <w:t>.  To exercise voting rights and issue proxies, that may be discretionary and with power of substitution, with respect to any stock or other securities in the fiduciary estate; to exercise rights and options to purchase shares of stock and to sell the option stock or retain the option stock as an investment and to sell or redeem fractional shares of stock.</w:t>
      </w:r>
    </w:p>
    <w:p w14:paraId="3D40282C" w14:textId="77777777" w:rsidR="00CC6D07" w:rsidRDefault="00CC6D07">
      <w:pPr>
        <w:pStyle w:val="ParaSS"/>
        <w:numPr>
          <w:ilvl w:val="1"/>
          <w:numId w:val="20"/>
        </w:numPr>
        <w:tabs>
          <w:tab w:val="clear" w:pos="1800"/>
        </w:tabs>
      </w:pPr>
      <w:r>
        <w:rPr>
          <w:u w:val="single"/>
        </w:rPr>
        <w:t>Corporate Activities</w:t>
      </w:r>
      <w:r>
        <w:t>.  To participate in corporate reorganizations, recapitalizations, consolidations, mergers, exchanges, liquidations and creditors’ and bondholders’ agreements.</w:t>
      </w:r>
    </w:p>
    <w:p w14:paraId="6151F148" w14:textId="77777777" w:rsidR="00CC6D07" w:rsidRDefault="00CC6D07">
      <w:pPr>
        <w:pStyle w:val="ParaSS"/>
        <w:numPr>
          <w:ilvl w:val="1"/>
          <w:numId w:val="20"/>
        </w:numPr>
        <w:tabs>
          <w:tab w:val="clear" w:pos="1800"/>
        </w:tabs>
      </w:pPr>
      <w:r>
        <w:rPr>
          <w:u w:val="single"/>
        </w:rPr>
        <w:t>Nominees</w:t>
      </w:r>
      <w:r>
        <w:t>.  To register or hold share certificates, bonds or other property in the name of a nominee, although the fiduciary will be responsible for the acts of the nominee.</w:t>
      </w:r>
    </w:p>
    <w:p w14:paraId="1FA23412" w14:textId="77777777" w:rsidR="00CC6D07" w:rsidRDefault="00CC6D07">
      <w:pPr>
        <w:pStyle w:val="ParaSS"/>
        <w:numPr>
          <w:ilvl w:val="1"/>
          <w:numId w:val="20"/>
        </w:numPr>
        <w:tabs>
          <w:tab w:val="clear" w:pos="1800"/>
        </w:tabs>
      </w:pPr>
      <w:r>
        <w:rPr>
          <w:u w:val="single"/>
        </w:rPr>
        <w:t>Agents and Related Parties</w:t>
      </w:r>
      <w:r>
        <w:t>.  To employ brokers, agents, investment counsel, custodians, accountants and attorneys; to deal with or to hold or invest any part of a fiduciary estate in common or undivided interests with any person or entity despite the relationship between the fiduciary and that person or entity.</w:t>
      </w:r>
    </w:p>
    <w:p w14:paraId="2CB45302" w14:textId="77777777" w:rsidR="00CC6D07" w:rsidRDefault="00CC6D07">
      <w:pPr>
        <w:pStyle w:val="ParaSS"/>
        <w:numPr>
          <w:ilvl w:val="1"/>
          <w:numId w:val="20"/>
        </w:numPr>
        <w:tabs>
          <w:tab w:val="clear" w:pos="1800"/>
        </w:tabs>
      </w:pPr>
      <w:r>
        <w:rPr>
          <w:u w:val="single"/>
        </w:rPr>
        <w:t>Distributions in Kind</w:t>
      </w:r>
      <w:r>
        <w:t xml:space="preserve">.  To make any division or distribution of property (including the satisfaction of any pecuniary gift) in cash or in kind, or partly in cash and partly in kind, and to do so without respect to the income tax basis of specific property allocated to any beneficiary (or any fiduciary) and without making </w:t>
      </w:r>
      <w:r>
        <w:rPr>
          <w:u w:val="single"/>
        </w:rPr>
        <w:t>pro</w:t>
      </w:r>
      <w:r>
        <w:t xml:space="preserve"> </w:t>
      </w:r>
      <w:r>
        <w:rPr>
          <w:u w:val="single"/>
        </w:rPr>
        <w:t>rata</w:t>
      </w:r>
      <w:r>
        <w:t xml:space="preserve"> distributions of specific property.  Any property divided or distributed in kind will be valued at the fair market value of the property as of the date of division or distribution and the division and distribution made and the values established by the fiduciary will be binding and conclusive on all parties interested in the fiduciary estate.  The fiduciary may, in making a division or distribution, allot undivided interests in the same property to several beneficiaries, fiduciaries or shares.</w:t>
      </w:r>
    </w:p>
    <w:p w14:paraId="1CE13D9C" w14:textId="77777777" w:rsidR="00CC6D07" w:rsidRDefault="00CC6D07">
      <w:pPr>
        <w:pStyle w:val="ParaSS"/>
        <w:numPr>
          <w:ilvl w:val="1"/>
          <w:numId w:val="20"/>
        </w:numPr>
        <w:tabs>
          <w:tab w:val="clear" w:pos="1800"/>
        </w:tabs>
      </w:pPr>
      <w:r>
        <w:rPr>
          <w:u w:val="single"/>
        </w:rPr>
        <w:t>Execution of Instruments</w:t>
      </w:r>
      <w:r>
        <w:t>.  To execute deeds, leases, transfers, assignments and any other instruments necessary or convenient to carry out all powers and responsibilities of the fiduciary.</w:t>
      </w:r>
    </w:p>
    <w:p w14:paraId="080540E6" w14:textId="77777777" w:rsidR="00CC6D07" w:rsidRDefault="00CC6D07">
      <w:pPr>
        <w:pStyle w:val="ParaSS"/>
        <w:numPr>
          <w:ilvl w:val="1"/>
          <w:numId w:val="20"/>
        </w:numPr>
        <w:tabs>
          <w:tab w:val="clear" w:pos="1800"/>
        </w:tabs>
      </w:pPr>
      <w:r>
        <w:rPr>
          <w:u w:val="single"/>
        </w:rPr>
        <w:t>Natural Resources</w:t>
      </w:r>
      <w:r>
        <w:t>.  To grant, sell or assign, purchase or acquire oil and gas leases or any other interest in or with respect to oil, gas or other minerals; to enter into farm-out agreements, operating agreements, unitization agreements, or any other agreements with respect to the assignment, production or operation of oil, gas or other mineral properties; to sign and execute division orders; to join and participate in ventures for the exploration, drilling, development and operation of oil, gas and minerals and oil, gas and mineral properties; to operate any oil, gas and mineral business as long as, in the discretion of the trustee, the business is advisable or expedient despite risk or profitability.</w:t>
      </w:r>
    </w:p>
    <w:p w14:paraId="4C976603" w14:textId="77777777" w:rsidR="00CC6D07" w:rsidRDefault="00CC6D07">
      <w:pPr>
        <w:pStyle w:val="ParaSS"/>
        <w:numPr>
          <w:ilvl w:val="1"/>
          <w:numId w:val="20"/>
        </w:numPr>
        <w:tabs>
          <w:tab w:val="clear" w:pos="1800"/>
        </w:tabs>
      </w:pPr>
      <w:r>
        <w:rPr>
          <w:u w:val="single"/>
        </w:rPr>
        <w:t>Business Interests</w:t>
      </w:r>
      <w:r>
        <w:t>.  To continue or to permit the continuation of any business, incorporated or unincorporated, that the fiduciary estate may receive or in which the fiduciary estate may have any interest for any period of time as the fiduciary determines, or to liquidate the business upon the terms the fiduciary determines.</w:t>
      </w:r>
    </w:p>
    <w:p w14:paraId="67314C3E" w14:textId="77777777" w:rsidR="00CC6D07" w:rsidRDefault="00CC6D07">
      <w:pPr>
        <w:pStyle w:val="ParaSS"/>
        <w:numPr>
          <w:ilvl w:val="1"/>
          <w:numId w:val="20"/>
        </w:numPr>
        <w:tabs>
          <w:tab w:val="clear" w:pos="1800"/>
        </w:tabs>
      </w:pPr>
      <w:r>
        <w:rPr>
          <w:u w:val="single"/>
        </w:rPr>
        <w:t>Allocations to Income and Principal</w:t>
      </w:r>
      <w:r>
        <w:t xml:space="preserve">.  To allocate receipts and expenses to principal or income, or partly to each, as provided by the law governing the fiduciary estate.  Net income that is not paid to or expended by the fiduciary for the benefit of a beneficiary entitled to </w:t>
      </w:r>
      <w:r>
        <w:lastRenderedPageBreak/>
        <w:t>receive only discretionary distributions of net income may, in the discretion of the fiduciary, be added to principal at the close of any taxable year.</w:t>
      </w:r>
    </w:p>
    <w:p w14:paraId="6946C77A" w14:textId="77777777" w:rsidR="00CC6D07" w:rsidRDefault="00CC6D07">
      <w:pPr>
        <w:pStyle w:val="ParaSS"/>
        <w:numPr>
          <w:ilvl w:val="1"/>
          <w:numId w:val="20"/>
        </w:numPr>
        <w:tabs>
          <w:tab w:val="clear" w:pos="1800"/>
        </w:tabs>
      </w:pPr>
      <w:r>
        <w:rPr>
          <w:u w:val="single"/>
        </w:rPr>
        <w:t>Consolidation for Investment Purposes</w:t>
      </w:r>
      <w:r>
        <w:t>.  To hold, manage and account for separate fiduciary estates either as separate funds or in one or more consolidated funds in which each fiduciary estate will own an undivided interest, but no consolidation will defer the vesting of the interest of any person.</w:t>
      </w:r>
    </w:p>
    <w:p w14:paraId="5B5F952B" w14:textId="77777777" w:rsidR="00CC6D07" w:rsidRDefault="00CC6D07">
      <w:pPr>
        <w:pStyle w:val="ParaSS"/>
        <w:numPr>
          <w:ilvl w:val="1"/>
          <w:numId w:val="20"/>
        </w:numPr>
        <w:tabs>
          <w:tab w:val="clear" w:pos="1800"/>
        </w:tabs>
      </w:pPr>
      <w:r>
        <w:rPr>
          <w:u w:val="single"/>
        </w:rPr>
        <w:t>Claims, Controversies</w:t>
      </w:r>
      <w:r>
        <w:t>.  To maintain or defend any claim or controversy by or against any fiduciary estate and to do so without the joinder or consent of any beneficiary.</w:t>
      </w:r>
    </w:p>
    <w:p w14:paraId="7CEA8A81" w14:textId="77777777" w:rsidR="00CC6D07" w:rsidRDefault="00CC6D07">
      <w:pPr>
        <w:pStyle w:val="ParaSS"/>
        <w:numPr>
          <w:ilvl w:val="1"/>
          <w:numId w:val="20"/>
        </w:numPr>
        <w:tabs>
          <w:tab w:val="clear" w:pos="1800"/>
        </w:tabs>
      </w:pPr>
      <w:r>
        <w:rPr>
          <w:u w:val="single"/>
        </w:rPr>
        <w:t>Disclaimers</w:t>
      </w:r>
      <w:r>
        <w:t>.  To disclaim any property or interest in property otherwise receivable by a fiduciary estate despite the source of the property.</w:t>
      </w:r>
    </w:p>
    <w:p w14:paraId="4CD068AE" w14:textId="77777777" w:rsidR="00CC6D07" w:rsidRDefault="00CC6D07">
      <w:pPr>
        <w:pStyle w:val="ParaSS"/>
        <w:numPr>
          <w:ilvl w:val="1"/>
          <w:numId w:val="20"/>
        </w:numPr>
        <w:tabs>
          <w:tab w:val="clear" w:pos="1800"/>
        </w:tabs>
      </w:pPr>
      <w:r>
        <w:rPr>
          <w:u w:val="single"/>
        </w:rPr>
        <w:t>Loans and Purchases From Fiduciaries</w:t>
      </w:r>
      <w:r>
        <w:t>.  To lend or borrow, at an adequate rate of interest and with adequate security and upon the terms and conditions that the fiduciary deems fair and equitable, and to sell or purchase at the fair market value as determined by the fiduciary, any property to or from any fiduciary estate, any fiduciary estate of my spouse or any lineal descendant or any fiduciary estate created by me or my spouse during life or at death, even though the same person or corporation may be acting as fiduciary of the fiduciary estate or the fiduciary estate of my spouse or as fiduciary of any fiduciary estate created by this instrument.</w:t>
      </w:r>
    </w:p>
    <w:p w14:paraId="724CB1C0" w14:textId="77777777" w:rsidR="00CC6D07" w:rsidRDefault="00CC6D07">
      <w:pPr>
        <w:pStyle w:val="ParaSS"/>
        <w:numPr>
          <w:ilvl w:val="1"/>
          <w:numId w:val="20"/>
        </w:numPr>
        <w:tabs>
          <w:tab w:val="clear" w:pos="1800"/>
        </w:tabs>
      </w:pPr>
      <w:r>
        <w:rPr>
          <w:u w:val="single"/>
        </w:rPr>
        <w:t>Insurance Policy Rights</w:t>
      </w:r>
      <w:r>
        <w:t>.  To exercise any insurance policy rights with respect to any insurance policy or certificate comprising part of the fiduciary estate.</w:t>
      </w:r>
    </w:p>
    <w:p w14:paraId="034C0B17" w14:textId="77777777" w:rsidR="00CC6D07" w:rsidRDefault="00CC6D07">
      <w:pPr>
        <w:pStyle w:val="ParaSS"/>
        <w:numPr>
          <w:ilvl w:val="1"/>
          <w:numId w:val="20"/>
        </w:numPr>
        <w:tabs>
          <w:tab w:val="clear" w:pos="1800"/>
        </w:tabs>
      </w:pPr>
      <w:r>
        <w:rPr>
          <w:u w:val="single"/>
        </w:rPr>
        <w:t>Retirement Assets</w:t>
      </w:r>
      <w:r>
        <w:t>.  To elect, in accordance with the terms of any qualified retirement plans, annuities, or individual retirement accounts as defined in the Code, the method of distribution of the proceeds thereof; to transfer any benefits or interests in any qualified retirement plans, annuities, or individual retirement accounts as defined in the Code; and to establish separate shares, accounts or subtrusts for any interests in such qualified retirement plans, annuities, or individual retirement accounts as defined in the Code.  No adjustment will be made in the interests of the beneficiaries of any fiduciary to compensate for the effect of such elections.</w:t>
      </w:r>
    </w:p>
    <w:p w14:paraId="17521A0B" w14:textId="77777777" w:rsidR="00CC6D07" w:rsidRDefault="00CC6D07">
      <w:pPr>
        <w:pStyle w:val="ParaSS"/>
        <w:numPr>
          <w:ilvl w:val="1"/>
          <w:numId w:val="20"/>
        </w:numPr>
        <w:tabs>
          <w:tab w:val="clear" w:pos="1800"/>
        </w:tabs>
      </w:pPr>
      <w:r>
        <w:rPr>
          <w:u w:val="single"/>
        </w:rPr>
        <w:t>General</w:t>
      </w:r>
      <w:r>
        <w:t>.  To perform any other act not prohibited by law that, in the opinion of the fiduciary, is necessary or desirable for the administration of the fiduciary estate.</w:t>
      </w:r>
    </w:p>
    <w:p w14:paraId="43BDE3AD" w14:textId="77777777" w:rsidR="00CC6D07" w:rsidRDefault="00CC6D07" w:rsidP="00661A16">
      <w:pPr>
        <w:pStyle w:val="ParaSS"/>
        <w:tabs>
          <w:tab w:val="clear" w:pos="1080"/>
        </w:tabs>
      </w:pPr>
      <w:r>
        <w:rPr>
          <w:u w:val="single"/>
        </w:rPr>
        <w:t>Payments</w:t>
      </w:r>
      <w:r>
        <w:t>.  Any fiduciary may make payment of any amount otherwise payable to an incapacitated person (i) to the parent or guardian or conservator of the incapacitated person, (ii) to the person with whom or the institution in which the incapacitated person resides, (iii) to the spouse</w:t>
      </w:r>
      <w:r w:rsidR="007C259E">
        <w:t>, domestic partner,</w:t>
      </w:r>
      <w:r>
        <w:t xml:space="preserve"> or children of the incapacitated person who are legally or in fact dependent upon the incapacitated person for the health, education, maintenance or support of the spouse</w:t>
      </w:r>
      <w:r w:rsidR="007C259E">
        <w:t>, domestic partner,</w:t>
      </w:r>
      <w:r>
        <w:t xml:space="preserve"> or children of the incapacitated person, (iv) in the case of a minor, by distributing the property directly to the minor, (v) by payment to a third party for the use or benefit of the incapacitated person, (vi) by payment and delivery to a custodian under a gifts or transfers to minors act of any state, or (vii) to a separate trustee selected by my fiduciary, in trust, to be held by the separate trustee in a separate trust for the incapacitated person’s use and benefit under the following terms:  (a) the income and principal of the separate trust estate (even to its exhaustion) will be paid to the beneficiary as the trustee deems necessary for the health, education, maintenance </w:t>
      </w:r>
      <w:r>
        <w:lastRenderedPageBreak/>
        <w:t>or support of the beneficiary with the balance to be paid to the beneficiary when the beneficiary ceases to be incapacitated, and (b) to the testamentary estate of the beneficiary if the beneficiary dies before the trust estate is exhausted.  The receipt of a parent, guardian, person, custodian, institution, or minor receiving property on behalf of a beneficiary, or evidence of the application of the payment for the benefit of a beneficiary, will be a full discharge to a fiduciary for the payment.  A fiduciary will incur no liability for any payment or distribution made in good faith and without actual notice or knowledge of a changed condition or status affecting the interest of any person in a fiduciary estate.  No payment may be made from any fiduciary estate that has the effect of discharging a legal obligation (including the legal obligation of support) of any person other than the beneficiary to whom or for whose benefit the payment is made.  No payment may be made under this paragraph from (i) any separate share under this instrument which holds as part of its share estate any stock as to which an “S Corporation” election has been made and is in effect as provided by section 1362(a) of the Code or (ii) from a trust or trust share funded in whole or part by a transfer qualifying for the federal estate tax marital deduction, to the extent the payment would disqualify the S Election or marital deduction.  Nothing in this paragraph will postpone the vesting in any beneficiary of any principal or income as provided in this instrument.</w:t>
      </w:r>
    </w:p>
    <w:p w14:paraId="66D43FDC" w14:textId="77777777" w:rsidR="00CC6D07" w:rsidRDefault="00CC6D07" w:rsidP="00661A16">
      <w:pPr>
        <w:pStyle w:val="ParaSS"/>
        <w:tabs>
          <w:tab w:val="clear" w:pos="1080"/>
        </w:tabs>
      </w:pPr>
      <w:r>
        <w:rPr>
          <w:u w:val="single"/>
        </w:rPr>
        <w:t>Tax Decisions and Elections</w:t>
      </w:r>
      <w:r>
        <w:t>.  Any fiduciary may make any decisions or elections under the tax laws applicable to an estate or to any trust or to the assets of either as may be expedient and desirable.  No compensating adjustments between principal and income, with respect to the income tax basis or other tax attribute of any property distributed in kind, or with respect to the elective recognition of gain or loss for tax purposes, need be made even though the decision or election so made may substantially affect (beneficially or adversely) the interests of the various beneficiaries in the principal or income of any fiduciary estate.  The action of my fiduciary with respect to tax decisions or elections made will be conclusive and binding upon all beneficiaries.</w:t>
      </w:r>
    </w:p>
    <w:p w14:paraId="77A2B6DB" w14:textId="0886F576" w:rsidR="00CC6D07" w:rsidRDefault="00CC6D07" w:rsidP="00661A16">
      <w:pPr>
        <w:pStyle w:val="ParaSS"/>
        <w:tabs>
          <w:tab w:val="clear" w:pos="1080"/>
        </w:tabs>
      </w:pPr>
      <w:r>
        <w:rPr>
          <w:u w:val="single"/>
        </w:rPr>
        <w:t>Death Taxes</w:t>
      </w:r>
      <w:r>
        <w:t xml:space="preserve">.  All death taxes attributable to property passing as a part of my testamentary estate will be paid from the principal of the residue of my testamentary estate, without apportionment and without right of contribution from any person.  </w:t>
      </w:r>
    </w:p>
    <w:p w14:paraId="46AAA0D4" w14:textId="77777777" w:rsidR="00CC6D07" w:rsidRDefault="00CC6D07" w:rsidP="00661A16">
      <w:pPr>
        <w:pStyle w:val="ParaSS"/>
        <w:tabs>
          <w:tab w:val="clear" w:pos="1080"/>
        </w:tabs>
      </w:pPr>
      <w:r>
        <w:rPr>
          <w:u w:val="single"/>
        </w:rPr>
        <w:t>Environmental Matters</w:t>
      </w:r>
      <w:r>
        <w:t>.  My fiduciary will have no liability with regard to any environmental matter except to the extent of my fiduciary’s gross negligence or willful misconduct in connection with the environmental matter.  “Environmental matter” means any state of affairs under any state, federal or local law, rule or regulation relating to the past, present or future condition of property, hazardous materials, or other environmental situation as now or hereafter delineated involving any trust created hereunder or its properties.  My fiduciary may reimburse itself from, and will be indemnified by, the appropriate trust estates for any loss, liability or expense arising out of or relating to an environmental matter except to the extent of my fiduciary’s gross negligence or willful misconduct.  The loss, liability or expense includes, without limitation, fines, penalties, damages, advisors and consultants fees and judgments.  My fiduciary may take any action, and spend any amount of the appropriate trust estates which my fiduciary deems advisable in its sole discretion to deal with environmental matters, even if it exhausts the appropriate trust estates and whether or not governmental or private adverse action is threatened or taken.  My fiduciary may allocate amounts expended among the trusts created hereunder and between income and principal in a fair and equitable manner to the extent not determined by statute.</w:t>
      </w:r>
    </w:p>
    <w:p w14:paraId="1AE8B903" w14:textId="77777777" w:rsidR="00CC6D07" w:rsidRDefault="00CC6D07">
      <w:pPr>
        <w:pStyle w:val="ArticleNo"/>
      </w:pPr>
    </w:p>
    <w:p w14:paraId="6D0E7351" w14:textId="77777777" w:rsidR="00CC6D07" w:rsidRDefault="00CC6D07">
      <w:pPr>
        <w:pStyle w:val="TitleUnderlineNoBold"/>
      </w:pPr>
      <w:r>
        <w:t>Miscellaneous Provisions</w:t>
      </w:r>
    </w:p>
    <w:p w14:paraId="5E6AD25A" w14:textId="77777777" w:rsidR="00CC6D07" w:rsidRDefault="00CC6D07">
      <w:pPr>
        <w:pStyle w:val="ParaSS"/>
        <w:numPr>
          <w:ilvl w:val="0"/>
          <w:numId w:val="28"/>
        </w:numPr>
        <w:tabs>
          <w:tab w:val="clear" w:pos="1080"/>
        </w:tabs>
      </w:pPr>
      <w:r>
        <w:rPr>
          <w:u w:val="single"/>
        </w:rPr>
        <w:t>Definitions</w:t>
      </w:r>
      <w:r>
        <w:t>.  As used in this instrument:</w:t>
      </w:r>
    </w:p>
    <w:p w14:paraId="43149E23" w14:textId="77777777" w:rsidR="00CC6D07" w:rsidRDefault="00CC6D07">
      <w:pPr>
        <w:pStyle w:val="ParaSS"/>
        <w:numPr>
          <w:ilvl w:val="1"/>
          <w:numId w:val="20"/>
        </w:numPr>
        <w:tabs>
          <w:tab w:val="clear" w:pos="1800"/>
        </w:tabs>
      </w:pPr>
      <w:r>
        <w:rPr>
          <w:u w:val="single"/>
        </w:rPr>
        <w:t>Beneficiary</w:t>
      </w:r>
      <w:r>
        <w:t>.  The term “beneficiary” means any person who has a withdrawal right, or a discretionary or mandatory right to principal or income under this instrument.</w:t>
      </w:r>
    </w:p>
    <w:p w14:paraId="09037D95" w14:textId="5E0EE653" w:rsidR="00CC6D07" w:rsidRDefault="00CC6D07">
      <w:pPr>
        <w:pStyle w:val="ParaSS"/>
        <w:numPr>
          <w:ilvl w:val="1"/>
          <w:numId w:val="20"/>
        </w:numPr>
        <w:tabs>
          <w:tab w:val="clear" w:pos="1800"/>
        </w:tabs>
      </w:pPr>
      <w:r>
        <w:rPr>
          <w:u w:val="single"/>
        </w:rPr>
        <w:t>Child</w:t>
      </w:r>
      <w:r>
        <w:t>.  The term “child” means (i) an individual born to a natural parent is the child of that natural parent unless subsequently adopted by someone other than the spouse of the natural parent, (ii) an individual adopted by someone other than the spouse of a natural parent is the child of the adopting parent and not of the natural parents, (iii) an individual adopted by the spouse of a natural parent is the child of the natural parents and the adopting spouse, (iv) an individual born out of wedlock is not the child of the natural father unless openly and notoriously treated as such by the natural father, and (v) a stepchild, foster child, grandchild or more remote descendant is not a child.  The term child specifically includes any child of mine named in this instrument.</w:t>
      </w:r>
    </w:p>
    <w:p w14:paraId="65F580F0" w14:textId="77777777" w:rsidR="00CC6D07" w:rsidRDefault="00CC6D07">
      <w:pPr>
        <w:pStyle w:val="ParaSS"/>
        <w:numPr>
          <w:ilvl w:val="1"/>
          <w:numId w:val="20"/>
        </w:numPr>
        <w:tabs>
          <w:tab w:val="clear" w:pos="1800"/>
        </w:tabs>
      </w:pPr>
      <w:r>
        <w:rPr>
          <w:u w:val="single"/>
        </w:rPr>
        <w:t>Code</w:t>
      </w:r>
      <w:r>
        <w:t>.  The term “Code” means the Internal Revenue Code of 1986, as amended.</w:t>
      </w:r>
    </w:p>
    <w:p w14:paraId="16605FCA" w14:textId="77777777" w:rsidR="00CC6D07" w:rsidRDefault="00CC6D07">
      <w:pPr>
        <w:pStyle w:val="ParaSS"/>
        <w:numPr>
          <w:ilvl w:val="1"/>
          <w:numId w:val="20"/>
        </w:numPr>
        <w:tabs>
          <w:tab w:val="clear" w:pos="1800"/>
        </w:tabs>
      </w:pPr>
      <w:r>
        <w:rPr>
          <w:u w:val="single"/>
        </w:rPr>
        <w:t>Death Taxes</w:t>
      </w:r>
      <w:r>
        <w:t>.  The term “death taxes” includes all estate taxes, inheritance taxes and other taxes (including penalties and interest) imposed by reason of my death, but does not include any tax imposed upon any generation-skipping transfer or a transfer taxed under section 2036 of the Code.</w:t>
      </w:r>
    </w:p>
    <w:p w14:paraId="0A4791BE" w14:textId="77777777" w:rsidR="00AB4EBE" w:rsidRPr="00AB4EBE" w:rsidRDefault="00AB4EBE" w:rsidP="00AB4EBE">
      <w:pPr>
        <w:pStyle w:val="ParaSS"/>
        <w:numPr>
          <w:ilvl w:val="1"/>
          <w:numId w:val="36"/>
        </w:numPr>
      </w:pPr>
      <w:r w:rsidRPr="00AB4EBE">
        <w:tab/>
      </w:r>
      <w:r>
        <w:rPr>
          <w:u w:val="single"/>
        </w:rPr>
        <w:t>Digital Assets</w:t>
      </w:r>
      <w:r>
        <w:t>:  The term “digital assets” includes files stored on my digital devices, including but not limited to desktops, laptops, tablets, peripherals, storage devices, mobile telephones, smartphones, and any similar digital device which currently exists or may exist as technology develops or such comparable items as technology develops.  The term “digital assets” also includes but is not limited  to emails received, email accounts, digital music, digital photographs, digital videos, software licenses, social network accounts, file sharing accounts, financial accounts, domain registrations, DNS service accounts, web hosting accounts, tax preparation service accounts, online stores, affiliate programs, other online accounts and similar digital items which currently exist or may exist as technology develops or such comparable items as technology develops, regardless of the ownership of the physical device upon which the digital item is stored.</w:t>
      </w:r>
    </w:p>
    <w:p w14:paraId="76AED2D4" w14:textId="77777777" w:rsidR="00CC6D07" w:rsidRDefault="00CC6D07">
      <w:pPr>
        <w:pStyle w:val="ParaSS"/>
        <w:numPr>
          <w:ilvl w:val="1"/>
          <w:numId w:val="20"/>
        </w:numPr>
        <w:tabs>
          <w:tab w:val="clear" w:pos="1800"/>
        </w:tabs>
      </w:pPr>
      <w:r>
        <w:rPr>
          <w:u w:val="single"/>
        </w:rPr>
        <w:t>Disclaim</w:t>
      </w:r>
      <w:r>
        <w:t>.  The term “disclaim” means to effectively renounce interests, amounts or assets under state law and for federal estate and gift tax purposes.</w:t>
      </w:r>
    </w:p>
    <w:p w14:paraId="2BDB00AF" w14:textId="77777777" w:rsidR="00CC6D07" w:rsidRDefault="00CC6D07">
      <w:pPr>
        <w:pStyle w:val="ParaSS"/>
        <w:numPr>
          <w:ilvl w:val="1"/>
          <w:numId w:val="20"/>
        </w:numPr>
        <w:tabs>
          <w:tab w:val="clear" w:pos="1800"/>
        </w:tabs>
      </w:pPr>
      <w:r>
        <w:rPr>
          <w:u w:val="single"/>
        </w:rPr>
        <w:t>Education</w:t>
      </w:r>
      <w:r>
        <w:t>.  The term “education” includes preparatory, collegiate, postgraduate and vocational education.</w:t>
      </w:r>
    </w:p>
    <w:p w14:paraId="0BB6022F" w14:textId="77777777" w:rsidR="00CC6D07" w:rsidRDefault="00CC6D07">
      <w:pPr>
        <w:pStyle w:val="ParaSS"/>
        <w:numPr>
          <w:ilvl w:val="1"/>
          <w:numId w:val="20"/>
        </w:numPr>
        <w:tabs>
          <w:tab w:val="clear" w:pos="1800"/>
        </w:tabs>
      </w:pPr>
      <w:r>
        <w:rPr>
          <w:u w:val="single"/>
        </w:rPr>
        <w:t>Fiduciary</w:t>
      </w:r>
      <w:r>
        <w:t>.  The term “fiduciary” means a personal representative or a trustee.</w:t>
      </w:r>
    </w:p>
    <w:p w14:paraId="607E78EC" w14:textId="77777777" w:rsidR="00CC6D07" w:rsidRDefault="00CC6D07">
      <w:pPr>
        <w:pStyle w:val="ParaSS"/>
        <w:numPr>
          <w:ilvl w:val="1"/>
          <w:numId w:val="20"/>
        </w:numPr>
        <w:tabs>
          <w:tab w:val="clear" w:pos="1800"/>
        </w:tabs>
      </w:pPr>
      <w:r>
        <w:rPr>
          <w:u w:val="single"/>
        </w:rPr>
        <w:lastRenderedPageBreak/>
        <w:t>Fiduciary Estate</w:t>
      </w:r>
      <w:r>
        <w:t>.  The term “fiduciary estate” means a testamentary estate or a trust estate.</w:t>
      </w:r>
    </w:p>
    <w:p w14:paraId="6EF1EA3F" w14:textId="77777777" w:rsidR="00CC6D07" w:rsidRDefault="00CC6D07">
      <w:pPr>
        <w:pStyle w:val="ParaSS"/>
        <w:numPr>
          <w:ilvl w:val="1"/>
          <w:numId w:val="20"/>
        </w:numPr>
        <w:tabs>
          <w:tab w:val="clear" w:pos="1800"/>
        </w:tabs>
      </w:pPr>
      <w:r>
        <w:rPr>
          <w:u w:val="single"/>
        </w:rPr>
        <w:t>Incapacitated Person</w:t>
      </w:r>
      <w:r>
        <w:t>.  The term “incapacitated person” means an individual who lacks capacity to manage the financial affairs of the person because of illness, physical condition, age, unavailability or any other cause.</w:t>
      </w:r>
    </w:p>
    <w:p w14:paraId="51B45E09" w14:textId="77777777" w:rsidR="00CC6D07" w:rsidRDefault="00CC6D07">
      <w:pPr>
        <w:pStyle w:val="ParaSS"/>
        <w:numPr>
          <w:ilvl w:val="1"/>
          <w:numId w:val="20"/>
        </w:numPr>
        <w:tabs>
          <w:tab w:val="clear" w:pos="1800"/>
        </w:tabs>
      </w:pPr>
      <w:r>
        <w:rPr>
          <w:u w:val="single"/>
        </w:rPr>
        <w:t>Insurance Policy Rights</w:t>
      </w:r>
      <w:r>
        <w:t>.  The term “insurance policy rights” means all of the right, title, interest, ownership, control and incidents of ownership in and under any insurance policies that become subject to this instrument, any insurance provided under the policies, any additional such insurance that may be provided in the future under the policies, and all benefits, options, elections, rights and privileges provided now or at any time after the date of this instrument (including any and all right, title and interest that, except for the policies being subject to this instrument, would pass to my estate) and all of my rights with respect to the policies:  (i) to exercise or receive the benefit of any conversion privilege, waiver of premium benefit and accidental death benefit, (ii) to receive the indemnities and benefits of all the insurance policies, (iii) to submit the notice of claim, proofs of loss and proofs of disability required for entitlement to or continuance of the insurance, (iv) to name or change the beneficiary or beneficiaries of the insurance, (v) to purchase any additional insurance for which an insured may become eligible, (vi) to pledge the insurance policy or certificate (or any rights under the insurance policy) for a loan or to obtain from the insurer a loan against the surrender value of the insurance policy, (vii) to cancel any insurance policy or surrender any insurance policy or certificate, (viii) to assign, pledge, sell or otherwise dispose of any and all right, title, interest, ownership, control, incident of ownership, option, election, privilege or benefit in and under all the insurance policies, and to revoke the insurance policies, (ix) to receive or apply dividends or distributive shares of surplus, disability benefits, surrender values or the proceeds of matured endowments, and (x) to convert any group insurance maintained for me by my employer (or by my employer and myself) to some other form of insurance upon termination of my employment to prevent the cancellation or lapse of the insurance coverage provided by the group insurance.</w:t>
      </w:r>
    </w:p>
    <w:p w14:paraId="0F884F85" w14:textId="77777777" w:rsidR="00CC6D07" w:rsidRDefault="00CC6D07">
      <w:pPr>
        <w:pStyle w:val="ParaSS"/>
        <w:numPr>
          <w:ilvl w:val="1"/>
          <w:numId w:val="20"/>
        </w:numPr>
        <w:tabs>
          <w:tab w:val="clear" w:pos="1800"/>
        </w:tabs>
      </w:pPr>
      <w:r>
        <w:rPr>
          <w:u w:val="single"/>
        </w:rPr>
        <w:t>Lineal Descendant</w:t>
      </w:r>
      <w:r>
        <w:t>.  The term “lineal descendant” means an individual’s issue of all generations with the status of child at each generation being determined by the definition of child in this instrument.</w:t>
      </w:r>
    </w:p>
    <w:p w14:paraId="165B3DDB" w14:textId="77777777" w:rsidR="00CC6D07" w:rsidRDefault="00CC6D07">
      <w:pPr>
        <w:pStyle w:val="ParaSS"/>
        <w:numPr>
          <w:ilvl w:val="1"/>
          <w:numId w:val="20"/>
        </w:numPr>
        <w:tabs>
          <w:tab w:val="clear" w:pos="1800"/>
        </w:tabs>
      </w:pPr>
      <w:r>
        <w:rPr>
          <w:u w:val="single"/>
        </w:rPr>
        <w:t>Personal Representative</w:t>
      </w:r>
      <w:r>
        <w:t>.  The term “personal representative” includes executor, administrator, successor personal representative, special administrator and a person who performs substantially the same functions relating to the estate of a decedent under the law governing their status, and when so defined by the Code, a trustee.</w:t>
      </w:r>
    </w:p>
    <w:p w14:paraId="4560BF45" w14:textId="77777777" w:rsidR="00CC6D07" w:rsidRDefault="00CC6D07">
      <w:pPr>
        <w:pStyle w:val="ParaSS"/>
        <w:numPr>
          <w:ilvl w:val="1"/>
          <w:numId w:val="20"/>
        </w:numPr>
        <w:tabs>
          <w:tab w:val="clear" w:pos="1800"/>
        </w:tabs>
      </w:pPr>
      <w:r>
        <w:rPr>
          <w:u w:val="single"/>
        </w:rPr>
        <w:t>Per</w:t>
      </w:r>
      <w:r>
        <w:t xml:space="preserve"> </w:t>
      </w:r>
      <w:r>
        <w:rPr>
          <w:u w:val="single"/>
        </w:rPr>
        <w:t>Stirpes</w:t>
      </w:r>
      <w:r>
        <w:t>.  The term “</w:t>
      </w:r>
      <w:r>
        <w:rPr>
          <w:u w:val="single"/>
        </w:rPr>
        <w:t>per</w:t>
      </w:r>
      <w:r>
        <w:t xml:space="preserve"> </w:t>
      </w:r>
      <w:r>
        <w:rPr>
          <w:u w:val="single"/>
        </w:rPr>
        <w:t>stirpes</w:t>
      </w:r>
      <w:r>
        <w:t>” means that the property is divided into as many equal shares as there are surviving lineal descendants in the nearest degree of kinship and deceased individuals in the same degree who left lineal descendants surviving the decedent, with each surviving lineal descendant in the nearest degree receiving one share and the share of each deceased individual in the same degree being divided among the issue of that deceased individual in the same manner, with subdivision repeating at each succeeding generation until the property is fully allocated among surviving descendants.</w:t>
      </w:r>
    </w:p>
    <w:p w14:paraId="2B968333" w14:textId="77777777" w:rsidR="00CC6D07" w:rsidRDefault="00CC6D07">
      <w:pPr>
        <w:pStyle w:val="ParaSS"/>
        <w:numPr>
          <w:ilvl w:val="1"/>
          <w:numId w:val="20"/>
        </w:numPr>
        <w:tabs>
          <w:tab w:val="clear" w:pos="1800"/>
        </w:tabs>
      </w:pPr>
      <w:r>
        <w:rPr>
          <w:u w:val="single"/>
        </w:rPr>
        <w:lastRenderedPageBreak/>
        <w:t>Principal and Income</w:t>
      </w:r>
      <w:r>
        <w:t>.  The terms “principal” and “income” mean the same as provided in the law applicable to the administration of my estate or of any trust created by this instrument, including any future amendments to the applicable law, except that capital gains will always be allocated to principal, regardless of the law applicable to the administration of the trust.  The term “net income” means estate or trust accounting income under generally accepted accounting procedures after all expenses or other charges to income other than distributions to beneficiaries.  Despite the foregoing, any distributions from qualified retirement plans, annuities, or individual retirement accounts as defined in the Code means trust income to the extent the distribution represents income earned by the plan or retirement account, and in the event the total distributions received from such plans or accounts is less than the income earned by the plan or account, income means additional sums withdrawn from such plans or accounts by the trustee as is necessary to equalize the income earned by such plans or accounts, and such withdrawn income as is designated as trust income by the trustee.</w:t>
      </w:r>
    </w:p>
    <w:p w14:paraId="4833F9CB" w14:textId="77777777" w:rsidR="00CC6D07" w:rsidRDefault="00CC6D07">
      <w:pPr>
        <w:pStyle w:val="ParaSS"/>
        <w:numPr>
          <w:ilvl w:val="1"/>
          <w:numId w:val="20"/>
        </w:numPr>
        <w:tabs>
          <w:tab w:val="clear" w:pos="1800"/>
        </w:tabs>
      </w:pPr>
      <w:r>
        <w:rPr>
          <w:u w:val="single"/>
        </w:rPr>
        <w:t>Property</w:t>
      </w:r>
      <w:r>
        <w:t>.  The term “property” means an interest, present or future, legal or equitable, vested or contingent, in real or personal property.</w:t>
      </w:r>
    </w:p>
    <w:p w14:paraId="0D02B86A" w14:textId="77777777" w:rsidR="00CC6D07" w:rsidRDefault="00CC6D07">
      <w:pPr>
        <w:pStyle w:val="ParaSS"/>
        <w:numPr>
          <w:ilvl w:val="1"/>
          <w:numId w:val="20"/>
        </w:numPr>
        <w:tabs>
          <w:tab w:val="clear" w:pos="1800"/>
        </w:tabs>
      </w:pPr>
      <w:r>
        <w:rPr>
          <w:u w:val="single"/>
        </w:rPr>
        <w:t>Separate Share</w:t>
      </w:r>
      <w:r>
        <w:t>.  The term “separate share” means a share of a trust allocated for a particular purpose or beneficiary.</w:t>
      </w:r>
    </w:p>
    <w:p w14:paraId="3C6981EA" w14:textId="77777777" w:rsidR="00CC6D07" w:rsidRDefault="00CC6D07">
      <w:pPr>
        <w:pStyle w:val="ParaSS"/>
        <w:numPr>
          <w:ilvl w:val="1"/>
          <w:numId w:val="20"/>
        </w:numPr>
        <w:tabs>
          <w:tab w:val="clear" w:pos="1800"/>
        </w:tabs>
      </w:pPr>
      <w:r>
        <w:rPr>
          <w:u w:val="single"/>
        </w:rPr>
        <w:t>Share Estate</w:t>
      </w:r>
      <w:r>
        <w:t>.  The term “share estate” means the principal, and all properly undistributed income, accrued or accumulated, of the separate share to which the reference is made.</w:t>
      </w:r>
    </w:p>
    <w:p w14:paraId="36A9CBD2" w14:textId="77777777" w:rsidR="00CC6D07" w:rsidRDefault="00CC6D07">
      <w:pPr>
        <w:pStyle w:val="ParaSS"/>
        <w:numPr>
          <w:ilvl w:val="1"/>
          <w:numId w:val="20"/>
        </w:numPr>
        <w:tabs>
          <w:tab w:val="clear" w:pos="1800"/>
        </w:tabs>
      </w:pPr>
      <w:r>
        <w:rPr>
          <w:u w:val="single"/>
        </w:rPr>
        <w:t>Spouse</w:t>
      </w:r>
      <w:r>
        <w:t>.  The term “spouse” means the person to whom an individual is legally married at the time of death of the individual, other than a person from whom the individual was then separated under a decree of separation, whether or not final, or a written separation agreement signed by both parties.  A person separated from an individual whose marriage to the individual continues in effect solely because a judgment of divorce or annulment of the marriage is not recognized as valid is not a spouse.  A person whose marriage to an individual at the time of death of the individual is not recognized solely because a judgment of divorce or annulment of a previous marriage of either or both of them is not recognized as valid, is a spouse.</w:t>
      </w:r>
    </w:p>
    <w:p w14:paraId="2AFCFAA7" w14:textId="77777777" w:rsidR="00CC6D07" w:rsidRDefault="00CC6D07">
      <w:pPr>
        <w:pStyle w:val="ParaSS"/>
        <w:numPr>
          <w:ilvl w:val="1"/>
          <w:numId w:val="20"/>
        </w:numPr>
        <w:tabs>
          <w:tab w:val="clear" w:pos="1800"/>
        </w:tabs>
      </w:pPr>
      <w:r>
        <w:rPr>
          <w:u w:val="single"/>
        </w:rPr>
        <w:t>Tangible Personal Property</w:t>
      </w:r>
      <w:r>
        <w:t>.  The term “tangible personal property” means intimate and household effects of any kind (including household goods, furniture, furnishings and rugs, pictures, paintings, antiques, family heirlooms, art objects, books, jewelry, wearing apparel, glassware, silverware, china, linens, computers and hobby paraphernalia), personal vehicles, together with any insurance on any of the property and memberships in any private clubs.  The term “tangible personal property” does not include money, currency, federal reserve notes, bank accounts, bonds, stocks, securities, interests in partnerships, limited liability companies or proprietorships, receivables or property used in a trade or business.</w:t>
      </w:r>
    </w:p>
    <w:p w14:paraId="46289775" w14:textId="77777777" w:rsidR="00CC6D07" w:rsidRDefault="00CC6D07">
      <w:pPr>
        <w:pStyle w:val="ParaSS"/>
        <w:numPr>
          <w:ilvl w:val="1"/>
          <w:numId w:val="20"/>
        </w:numPr>
        <w:tabs>
          <w:tab w:val="clear" w:pos="1800"/>
        </w:tabs>
      </w:pPr>
      <w:r>
        <w:rPr>
          <w:u w:val="single"/>
        </w:rPr>
        <w:t>Testamentary Estate</w:t>
      </w:r>
      <w:r>
        <w:t>.  The term “testamentary estate” includes every interest in property subject to disposition or appointment by the will of the decedent.</w:t>
      </w:r>
    </w:p>
    <w:p w14:paraId="1E474596" w14:textId="77777777" w:rsidR="00CC6D07" w:rsidRDefault="00CC6D07">
      <w:pPr>
        <w:pStyle w:val="ParaSS"/>
        <w:numPr>
          <w:ilvl w:val="1"/>
          <w:numId w:val="20"/>
        </w:numPr>
        <w:tabs>
          <w:tab w:val="clear" w:pos="1800"/>
        </w:tabs>
      </w:pPr>
      <w:r>
        <w:rPr>
          <w:u w:val="single"/>
        </w:rPr>
        <w:t>Trust</w:t>
      </w:r>
      <w:r>
        <w:t>.  The term “trust” means any trust or separate share created by this instrument.</w:t>
      </w:r>
    </w:p>
    <w:p w14:paraId="2F455C6B" w14:textId="77777777" w:rsidR="00CC6D07" w:rsidRDefault="00CC6D07">
      <w:pPr>
        <w:pStyle w:val="ParaSS"/>
        <w:numPr>
          <w:ilvl w:val="1"/>
          <w:numId w:val="20"/>
        </w:numPr>
        <w:tabs>
          <w:tab w:val="clear" w:pos="1800"/>
        </w:tabs>
      </w:pPr>
      <w:r>
        <w:rPr>
          <w:u w:val="single"/>
        </w:rPr>
        <w:lastRenderedPageBreak/>
        <w:t>Trust Estate</w:t>
      </w:r>
      <w:r>
        <w:t>.  The term “trust estate” includes the principal and all properly undistributed income, accrued or accumulated, of the respective trust to which reference is made and includes a separate share estate.</w:t>
      </w:r>
    </w:p>
    <w:p w14:paraId="12F72EF2" w14:textId="77777777" w:rsidR="00CC6D07" w:rsidRDefault="00CC6D07">
      <w:pPr>
        <w:pStyle w:val="ParaSS"/>
        <w:numPr>
          <w:ilvl w:val="1"/>
          <w:numId w:val="20"/>
        </w:numPr>
        <w:tabs>
          <w:tab w:val="clear" w:pos="1800"/>
        </w:tabs>
      </w:pPr>
      <w:r>
        <w:rPr>
          <w:u w:val="single"/>
        </w:rPr>
        <w:t>Trustee</w:t>
      </w:r>
      <w:r>
        <w:t>.  The term “trustee” includes an original, additional or successor trustee, whether or not appointed or confirmed by a court.</w:t>
      </w:r>
    </w:p>
    <w:p w14:paraId="2FD0A4A0" w14:textId="77777777" w:rsidR="00CC6D07" w:rsidRDefault="00CC6D07">
      <w:pPr>
        <w:pStyle w:val="ParaSS"/>
        <w:numPr>
          <w:ilvl w:val="1"/>
          <w:numId w:val="20"/>
        </w:numPr>
        <w:tabs>
          <w:tab w:val="clear" w:pos="1800"/>
        </w:tabs>
      </w:pPr>
      <w:r>
        <w:rPr>
          <w:u w:val="single"/>
        </w:rPr>
        <w:t>Will</w:t>
      </w:r>
      <w:r>
        <w:t>.  The term “will” and the term “last will” include not only the last will of the person referred to, but also any codicils to that will.</w:t>
      </w:r>
    </w:p>
    <w:p w14:paraId="72485621" w14:textId="77777777" w:rsidR="00CC6D07" w:rsidRDefault="00CC6D07" w:rsidP="00661A16">
      <w:pPr>
        <w:pStyle w:val="ParaSS"/>
        <w:tabs>
          <w:tab w:val="clear" w:pos="1080"/>
        </w:tabs>
      </w:pPr>
      <w:r>
        <w:rPr>
          <w:u w:val="single"/>
        </w:rPr>
        <w:t>Spendthrift Provision</w:t>
      </w:r>
      <w:r>
        <w:t>.  No beneficiary may transfer or encumber the interest of the beneficiary under this instrument and no one having a claim against any beneficiary may attach or otherwise reach any interest of the beneficiary under this instrument.  The exercise of any power of appointment granted by this or any other instrument or the exercise of any disclaimer is not a transfer or encumbrance under this paragraph.</w:t>
      </w:r>
    </w:p>
    <w:p w14:paraId="5C1D1F2E" w14:textId="77777777" w:rsidR="00CC6D07" w:rsidRDefault="00CC6D07" w:rsidP="00661A16">
      <w:pPr>
        <w:pStyle w:val="ParaSS"/>
        <w:tabs>
          <w:tab w:val="clear" w:pos="1080"/>
        </w:tabs>
      </w:pPr>
      <w:r>
        <w:rPr>
          <w:u w:val="single"/>
        </w:rPr>
        <w:t>Independent Significance</w:t>
      </w:r>
      <w:r>
        <w:t>.  Each trust, whether or not funded with any property has an independent significance from the will of any person which may refer to or make a gift to the trust.  Each trust has been established to be available to hold any property which anyone (including attorneys-in-fact and holders of powers of appointment) may choose to add to the trust.  Without limiting any other alternatives, additional property may be added to a trust by will upon death, by designation as a beneficiary of insurance policies or employee benefit plan distributions, by a transfer on death designation or a payable on death designation or otherwise.</w:t>
      </w:r>
    </w:p>
    <w:p w14:paraId="644216D4" w14:textId="77777777" w:rsidR="00CC6D07" w:rsidRDefault="00CC6D07" w:rsidP="00661A16">
      <w:pPr>
        <w:pStyle w:val="ParaSS"/>
        <w:tabs>
          <w:tab w:val="clear" w:pos="1080"/>
        </w:tabs>
      </w:pPr>
      <w:r>
        <w:rPr>
          <w:u w:val="single"/>
        </w:rPr>
        <w:t>Maximum Term of Trusts</w:t>
      </w:r>
      <w:r>
        <w:t xml:space="preserve">.  Despite any other provision of this instrument, if any interest created by this instrument is still held in trust at the expiration of a period ending on the earlier of (i) 21 years after the death of the last survivor of the designated beneficiaries living at the date this instrument becomes irrevocable, or (ii) 89 years after the date of this instrument, the interest will at that time immediately vest in and be distributed to the income beneficiaries in the same proportions as the income beneficiaries are then entitled to receive income, or to those persons, </w:t>
      </w:r>
      <w:r>
        <w:rPr>
          <w:u w:val="single"/>
        </w:rPr>
        <w:t>per</w:t>
      </w:r>
      <w:r>
        <w:t xml:space="preserve"> </w:t>
      </w:r>
      <w:r>
        <w:rPr>
          <w:u w:val="single"/>
        </w:rPr>
        <w:t>stirpes</w:t>
      </w:r>
      <w:r>
        <w:t>, if income distributions are discretionary.</w:t>
      </w:r>
    </w:p>
    <w:p w14:paraId="081D5688" w14:textId="79FF26C0" w:rsidR="00CC6D07" w:rsidRDefault="00CC6D07" w:rsidP="00661A16">
      <w:pPr>
        <w:pStyle w:val="ParaSS"/>
        <w:tabs>
          <w:tab w:val="clear" w:pos="1080"/>
        </w:tabs>
      </w:pPr>
      <w:r>
        <w:rPr>
          <w:u w:val="single"/>
        </w:rPr>
        <w:t>Simultaneous Death and Survivorship</w:t>
      </w:r>
      <w:r>
        <w:t>.  No person</w:t>
      </w:r>
      <w:r w:rsidR="00FD6652">
        <w:t xml:space="preserve"> </w:t>
      </w:r>
      <w:r>
        <w:t>will be deemed to have survived me if the person dies within 90 days of my death.</w:t>
      </w:r>
    </w:p>
    <w:p w14:paraId="688D64F0" w14:textId="77777777" w:rsidR="00CC6D07" w:rsidRDefault="00CC6D07" w:rsidP="00661A16">
      <w:pPr>
        <w:pStyle w:val="ParaSS"/>
        <w:tabs>
          <w:tab w:val="clear" w:pos="1080"/>
        </w:tabs>
      </w:pPr>
      <w:r>
        <w:rPr>
          <w:u w:val="single"/>
        </w:rPr>
        <w:t>Contests</w:t>
      </w:r>
      <w:r>
        <w:t>.  If any beneficiary under this instrument objects, directly or indirectly, to the validity of this instrument or contests the validity of this instrument or any of its parts, or exercises or attempts to exercise any right of election to take any part of a fiduciary estate against the provisions of this instrument, then any objecting or contesting beneficiary will be treated for the purposes of this instrument as if the beneficiary had predeceased me, and any gift of any kind intended for the beneficiary will be void.</w:t>
      </w:r>
    </w:p>
    <w:p w14:paraId="53E329F8" w14:textId="77777777" w:rsidR="00CC6D07" w:rsidRDefault="00CC6D07" w:rsidP="00661A16">
      <w:pPr>
        <w:pStyle w:val="ParaSS"/>
        <w:tabs>
          <w:tab w:val="clear" w:pos="1080"/>
        </w:tabs>
      </w:pPr>
      <w:r>
        <w:rPr>
          <w:u w:val="single"/>
        </w:rPr>
        <w:t>Applicable Law</w:t>
      </w:r>
      <w:r>
        <w:t>.  The law of New Mexico shall apply to the governance of my testamentary estate.  With respect to any trusts established by this instrument, the laws of only one particular state will not necessarily govern all questions, but rather the governing law will be determined as follows:</w:t>
      </w:r>
    </w:p>
    <w:p w14:paraId="4CCDEAE1" w14:textId="77777777" w:rsidR="00CC6D07" w:rsidRDefault="00CC6D07">
      <w:pPr>
        <w:pStyle w:val="ParaSS"/>
        <w:numPr>
          <w:ilvl w:val="1"/>
          <w:numId w:val="20"/>
        </w:numPr>
        <w:tabs>
          <w:tab w:val="clear" w:pos="1800"/>
        </w:tabs>
      </w:pPr>
      <w:r>
        <w:rPr>
          <w:u w:val="single"/>
        </w:rPr>
        <w:lastRenderedPageBreak/>
        <w:t>Validity</w:t>
      </w:r>
      <w:r>
        <w:t>.  The validity of each trust, as well as the validity of the particular provisions of that trust, will be governed by the laws of the state of domicile of the individual or corporate trustee then having custody of the principal assets and records of the trust.  If the law of that state does not support the validity of the trust, the validity of the trust will be governed by the laws of that state which has sufficient connection with that trust to support the validity of the trust.</w:t>
      </w:r>
    </w:p>
    <w:p w14:paraId="12B8A723" w14:textId="77777777" w:rsidR="00CC6D07" w:rsidRDefault="00CC6D07">
      <w:pPr>
        <w:pStyle w:val="ParaSS"/>
        <w:numPr>
          <w:ilvl w:val="1"/>
          <w:numId w:val="20"/>
        </w:numPr>
        <w:tabs>
          <w:tab w:val="clear" w:pos="1800"/>
        </w:tabs>
      </w:pPr>
      <w:r>
        <w:rPr>
          <w:u w:val="single"/>
        </w:rPr>
        <w:t>Construction</w:t>
      </w:r>
      <w:r>
        <w:t>.  The meaning and effect of the provisions of this instrument that affect the determination of who is a beneficiary and what is a beneficiary’s proper share will be governed by and construed under the laws of New Mexico.  If any provision of this instrument specifically states what law will govern, the law stated in that provision will govern the administration of that provision.  The meaning and effect of all remaining provisions of this instrument will be governed by and construed under the laws of the state of domicile of the individual or corporate trustee then having custody of the principal assets and records of the trust.</w:t>
      </w:r>
    </w:p>
    <w:p w14:paraId="50F0A4AF" w14:textId="77777777" w:rsidR="00CC6D07" w:rsidRDefault="00CC6D07">
      <w:pPr>
        <w:pStyle w:val="ParaSS"/>
        <w:numPr>
          <w:ilvl w:val="1"/>
          <w:numId w:val="20"/>
        </w:numPr>
        <w:tabs>
          <w:tab w:val="clear" w:pos="1800"/>
        </w:tabs>
      </w:pPr>
      <w:r>
        <w:rPr>
          <w:u w:val="single"/>
        </w:rPr>
        <w:t>Administration</w:t>
      </w:r>
      <w:r>
        <w:t>.  Subject to the other provisions of this instrument, the administration of each trust will be governed by the laws of the state of domicile of an individual trustee or the principal office of a corporate trustee then having custody of the principal assets and records of the trust, the courts of which state will have exclusive jurisdiction over the administration of the trust with respect to any period during which that trust was being administered in that state.</w:t>
      </w:r>
    </w:p>
    <w:p w14:paraId="3AEAA58A" w14:textId="77777777" w:rsidR="00CC6D07" w:rsidRDefault="00CC6D07">
      <w:pPr>
        <w:pStyle w:val="ParaSS"/>
        <w:numPr>
          <w:ilvl w:val="1"/>
          <w:numId w:val="20"/>
        </w:numPr>
        <w:tabs>
          <w:tab w:val="clear" w:pos="1800"/>
        </w:tabs>
      </w:pPr>
      <w:r>
        <w:rPr>
          <w:u w:val="single"/>
        </w:rPr>
        <w:t>Situs</w:t>
      </w:r>
      <w:r>
        <w:t>.  The situs of each trust will be the state of domicile of an individual trustee or the principal office of a corporate trustee then having custody of the principal assets and records of the trust.  The preceding rule will apply even though some trust property may be located elsewhere.</w:t>
      </w:r>
    </w:p>
    <w:p w14:paraId="56DD8269" w14:textId="77777777" w:rsidR="00CC6D07" w:rsidRDefault="00CC6D07" w:rsidP="00661A16">
      <w:pPr>
        <w:pStyle w:val="ParaSS"/>
        <w:tabs>
          <w:tab w:val="clear" w:pos="1080"/>
        </w:tabs>
      </w:pPr>
      <w:r>
        <w:rPr>
          <w:u w:val="single"/>
        </w:rPr>
        <w:t>Severability</w:t>
      </w:r>
      <w:r>
        <w:t>.  If any phrase, clause, sentence, section, paragraph or provision of this instrument is declared invalid, illegal or unenforceable in any respect by a final decree of a court having competent jurisdiction, that declaration will not affect, prejudice or disturb the validity of any other phrase, clause, sentence, section, paragraph or provision of this instrument, nor the validity of the maligned phrase, clause, sentence, section, paragraph or provision in any other jurisdiction.</w:t>
      </w:r>
    </w:p>
    <w:p w14:paraId="0AE0E9D6" w14:textId="77777777" w:rsidR="00CC6D07" w:rsidRDefault="00CC6D07" w:rsidP="00661A16">
      <w:pPr>
        <w:pStyle w:val="ParaSS"/>
        <w:tabs>
          <w:tab w:val="clear" w:pos="1080"/>
        </w:tabs>
      </w:pPr>
      <w:r>
        <w:rPr>
          <w:u w:val="single"/>
        </w:rPr>
        <w:t>Notice Procedures</w:t>
      </w:r>
      <w:r>
        <w:t>.  Whenever written notice is required to be given under the terms of this instrument, the notice may be given either (i) by personal delivery evidenced by a written receipt, (ii) by certified mail (the notice will be deemed to have been given on the date of mailing of the notice), (iii) by courier or similar delivery, or (iv) by confirmed facsimile transmission.  The notice must be given to a location reasonably understood under the circumstances to be a location which will result in actual notice being received.</w:t>
      </w:r>
    </w:p>
    <w:p w14:paraId="71777B99" w14:textId="77777777" w:rsidR="00CC6D07" w:rsidRDefault="00CC6D07" w:rsidP="00661A16">
      <w:pPr>
        <w:pStyle w:val="ParaSS"/>
        <w:tabs>
          <w:tab w:val="clear" w:pos="1080"/>
        </w:tabs>
      </w:pPr>
      <w:r>
        <w:rPr>
          <w:u w:val="single"/>
        </w:rPr>
        <w:t>Third-Party Responsibility</w:t>
      </w:r>
      <w:r>
        <w:t>.  No one dealing with a fiduciary trustee will be obliged to see to the application of any money paid or property delivered to the fiduciary, or to inquire into the necessity or propriety of the fiduciary exercising any of the powers conferred upon the fiduciary, or to determine the existence of any fact upon which the power of the fiduciary to perform any act may be conditioned.  A fiduciary may rely upon any notice, certificate, affidavit, letter, telegram or other paper or document believed to be genuine, or upon any evidence deemed to be sufficient, in making any payment or distribution.</w:t>
      </w:r>
    </w:p>
    <w:p w14:paraId="0FCD9A04" w14:textId="2BC35B99" w:rsidR="00CC6D07" w:rsidRDefault="00CC6D07">
      <w:pPr>
        <w:pStyle w:val="BodyTextFirstIndent"/>
      </w:pPr>
      <w:r>
        <w:lastRenderedPageBreak/>
        <w:t xml:space="preserve">I, </w:t>
      </w:r>
      <w:r w:rsidR="00FD6652">
        <w:t>*** Testator ***</w:t>
      </w:r>
      <w:r>
        <w:t>, the Testator, sign my name to this instrument on ______________________________, and being first duly sworn, do hereby declare to the undersigned authority that I sign and execute this instrument as my will and that I sign it willingly (or willingly direct another to sign for me), that I execute it as my free and voluntary act for the purposes therein expressed and that I am eighteen years of age or older, of sound mind and under no constraint or undue influence.</w:t>
      </w:r>
    </w:p>
    <w:p w14:paraId="5D9A41A0" w14:textId="77777777" w:rsidR="00CC6D07" w:rsidRDefault="00CC6D07"/>
    <w:p w14:paraId="01D47D7B" w14:textId="77777777" w:rsidR="00CC6D07" w:rsidRDefault="00CC6D07"/>
    <w:tbl>
      <w:tblPr>
        <w:tblW w:w="0" w:type="auto"/>
        <w:tblLook w:val="0000" w:firstRow="0" w:lastRow="0" w:firstColumn="0" w:lastColumn="0" w:noHBand="0" w:noVBand="0"/>
      </w:tblPr>
      <w:tblGrid>
        <w:gridCol w:w="4670"/>
        <w:gridCol w:w="4690"/>
      </w:tblGrid>
      <w:tr w:rsidR="00CC6D07" w14:paraId="2DF1D14A" w14:textId="77777777">
        <w:tc>
          <w:tcPr>
            <w:tcW w:w="4788" w:type="dxa"/>
          </w:tcPr>
          <w:p w14:paraId="4FDE8FCE" w14:textId="77777777" w:rsidR="00CC6D07" w:rsidRDefault="00CC6D07"/>
        </w:tc>
        <w:tc>
          <w:tcPr>
            <w:tcW w:w="4788" w:type="dxa"/>
            <w:tcBorders>
              <w:bottom w:val="single" w:sz="4" w:space="0" w:color="auto"/>
            </w:tcBorders>
          </w:tcPr>
          <w:p w14:paraId="283FAD8D" w14:textId="77777777" w:rsidR="00CC6D07" w:rsidRDefault="00CC6D07"/>
        </w:tc>
      </w:tr>
      <w:tr w:rsidR="00CC6D07" w14:paraId="03D5BF1D" w14:textId="77777777">
        <w:tc>
          <w:tcPr>
            <w:tcW w:w="4788" w:type="dxa"/>
          </w:tcPr>
          <w:p w14:paraId="30F6E045" w14:textId="77777777" w:rsidR="00CC6D07" w:rsidRDefault="00CC6D07"/>
        </w:tc>
        <w:tc>
          <w:tcPr>
            <w:tcW w:w="4788" w:type="dxa"/>
            <w:tcBorders>
              <w:top w:val="single" w:sz="4" w:space="0" w:color="auto"/>
            </w:tcBorders>
          </w:tcPr>
          <w:p w14:paraId="0A068F7C" w14:textId="40F5CD64" w:rsidR="00CC6D07" w:rsidRDefault="00FD6652">
            <w:r>
              <w:t>*** Testator ***</w:t>
            </w:r>
          </w:p>
          <w:p w14:paraId="38BB4869" w14:textId="77777777" w:rsidR="00CC6D07" w:rsidRDefault="00CC6D07">
            <w:pPr>
              <w:pStyle w:val="Header"/>
              <w:tabs>
                <w:tab w:val="clear" w:pos="4320"/>
                <w:tab w:val="clear" w:pos="8640"/>
              </w:tabs>
              <w:rPr>
                <w:rFonts w:cs="Times New Roman"/>
                <w:szCs w:val="24"/>
              </w:rPr>
            </w:pPr>
            <w:r>
              <w:rPr>
                <w:rFonts w:cs="Times New Roman"/>
                <w:szCs w:val="24"/>
              </w:rPr>
              <w:t>Testator</w:t>
            </w:r>
          </w:p>
        </w:tc>
      </w:tr>
    </w:tbl>
    <w:p w14:paraId="3A115C48" w14:textId="77777777" w:rsidR="00CC6D07" w:rsidRDefault="00CC6D07"/>
    <w:p w14:paraId="470DF818" w14:textId="77777777" w:rsidR="00CC6D07" w:rsidRDefault="00CC6D07"/>
    <w:p w14:paraId="7DF3848F" w14:textId="77777777" w:rsidR="00CC6D07" w:rsidRDefault="00CC6D07">
      <w:pPr>
        <w:pStyle w:val="BodyTextFirstIndent"/>
      </w:pPr>
      <w:r>
        <w:t>We, _____________________________ and _____________________________, the witnesses, sign our names to this instrument, being first duly sworn, and do hereby declare to the undersigned authority that the Testator signs and executes this instrument as the Testator’s will and that the Testator signs it willingly (or willingly directs another to sign for the Testator), and that each of us, in the presence of the Testator and in the presence of each other, hereby signs this will as witness to the Testator’s signing and that to the best of our knowledge the Testator is eighteen year of age or older, of sound mind and under no constraint or undue influence.</w:t>
      </w:r>
    </w:p>
    <w:p w14:paraId="02316BF9" w14:textId="77777777" w:rsidR="00CC6D07" w:rsidRDefault="00CC6D07"/>
    <w:tbl>
      <w:tblPr>
        <w:tblW w:w="0" w:type="auto"/>
        <w:tblLook w:val="0000" w:firstRow="0" w:lastRow="0" w:firstColumn="0" w:lastColumn="0" w:noHBand="0" w:noVBand="0"/>
      </w:tblPr>
      <w:tblGrid>
        <w:gridCol w:w="4528"/>
        <w:gridCol w:w="269"/>
        <w:gridCol w:w="4563"/>
      </w:tblGrid>
      <w:tr w:rsidR="00CC6D07" w14:paraId="37DC6F94" w14:textId="77777777">
        <w:tc>
          <w:tcPr>
            <w:tcW w:w="4635" w:type="dxa"/>
            <w:tcBorders>
              <w:bottom w:val="single" w:sz="4" w:space="0" w:color="auto"/>
            </w:tcBorders>
          </w:tcPr>
          <w:p w14:paraId="3D07D30C" w14:textId="77777777" w:rsidR="00CC6D07" w:rsidRDefault="00CC6D07"/>
        </w:tc>
        <w:tc>
          <w:tcPr>
            <w:tcW w:w="270" w:type="dxa"/>
          </w:tcPr>
          <w:p w14:paraId="703857EA" w14:textId="77777777" w:rsidR="00CC6D07" w:rsidRDefault="00CC6D07"/>
        </w:tc>
        <w:tc>
          <w:tcPr>
            <w:tcW w:w="4671" w:type="dxa"/>
            <w:tcBorders>
              <w:bottom w:val="single" w:sz="4" w:space="0" w:color="auto"/>
            </w:tcBorders>
          </w:tcPr>
          <w:p w14:paraId="3C9193B6" w14:textId="77777777" w:rsidR="00CC6D07" w:rsidRDefault="00CC6D07"/>
        </w:tc>
      </w:tr>
      <w:tr w:rsidR="00CC6D07" w14:paraId="32C49498" w14:textId="77777777">
        <w:tc>
          <w:tcPr>
            <w:tcW w:w="4635" w:type="dxa"/>
            <w:tcBorders>
              <w:top w:val="single" w:sz="4" w:space="0" w:color="auto"/>
            </w:tcBorders>
          </w:tcPr>
          <w:p w14:paraId="1EB15F07" w14:textId="77777777" w:rsidR="00CC6D07" w:rsidRDefault="00CC6D07">
            <w:r>
              <w:t>Witness</w:t>
            </w:r>
          </w:p>
        </w:tc>
        <w:tc>
          <w:tcPr>
            <w:tcW w:w="270" w:type="dxa"/>
          </w:tcPr>
          <w:p w14:paraId="1597565A" w14:textId="77777777" w:rsidR="00CC6D07" w:rsidRDefault="00CC6D07"/>
        </w:tc>
        <w:tc>
          <w:tcPr>
            <w:tcW w:w="4671" w:type="dxa"/>
            <w:tcBorders>
              <w:top w:val="single" w:sz="4" w:space="0" w:color="auto"/>
            </w:tcBorders>
          </w:tcPr>
          <w:p w14:paraId="69D8871F" w14:textId="77777777" w:rsidR="00CC6D07" w:rsidRDefault="00CC6D07">
            <w:r>
              <w:t>Witness</w:t>
            </w:r>
          </w:p>
        </w:tc>
      </w:tr>
    </w:tbl>
    <w:p w14:paraId="3A854703" w14:textId="77777777" w:rsidR="00CC6D07" w:rsidRDefault="00CC6D07"/>
    <w:p w14:paraId="260215FC" w14:textId="77777777" w:rsidR="00CC6D07" w:rsidRDefault="00CC6D07"/>
    <w:p w14:paraId="39121A7F" w14:textId="77777777" w:rsidR="00CC6D07" w:rsidRDefault="00CC6D07">
      <w:r>
        <w:t>STATE OF NEW MEXICO</w:t>
      </w:r>
    </w:p>
    <w:p w14:paraId="068F4B96" w14:textId="77777777" w:rsidR="00CC6D07" w:rsidRDefault="00CC6D07"/>
    <w:p w14:paraId="42537DFA" w14:textId="77777777" w:rsidR="00CC6D07" w:rsidRDefault="00CC6D07">
      <w:r>
        <w:t>COUNTY OF BERNALILLO</w:t>
      </w:r>
    </w:p>
    <w:p w14:paraId="1814BA69" w14:textId="77777777" w:rsidR="00CC6D07" w:rsidRDefault="00CC6D07"/>
    <w:p w14:paraId="6E4018C5" w14:textId="0267C078" w:rsidR="00CC6D07" w:rsidRDefault="00CC6D07">
      <w:pPr>
        <w:pStyle w:val="BodyTextFirstIndent"/>
      </w:pPr>
      <w:r>
        <w:t xml:space="preserve">This instrument was signed, sworn to and acknowledged before me by </w:t>
      </w:r>
      <w:r w:rsidR="00FD6652">
        <w:t>*** Testator ***</w:t>
      </w:r>
      <w:r>
        <w:t>, the Testator, and signed and sworn to before me by _____________________________ and _____________________________, witnesses, on ______________________________.</w:t>
      </w:r>
    </w:p>
    <w:p w14:paraId="2C033A79" w14:textId="77777777" w:rsidR="00CC6D07" w:rsidRDefault="00CC6D07"/>
    <w:tbl>
      <w:tblPr>
        <w:tblW w:w="0" w:type="auto"/>
        <w:tblLook w:val="0000" w:firstRow="0" w:lastRow="0" w:firstColumn="0" w:lastColumn="0" w:noHBand="0" w:noVBand="0"/>
      </w:tblPr>
      <w:tblGrid>
        <w:gridCol w:w="4672"/>
        <w:gridCol w:w="4688"/>
      </w:tblGrid>
      <w:tr w:rsidR="00CC6D07" w14:paraId="3D06F96B" w14:textId="77777777">
        <w:tc>
          <w:tcPr>
            <w:tcW w:w="4788" w:type="dxa"/>
          </w:tcPr>
          <w:p w14:paraId="12E70602" w14:textId="77777777" w:rsidR="00CC6D07" w:rsidRDefault="00CC6D07"/>
        </w:tc>
        <w:tc>
          <w:tcPr>
            <w:tcW w:w="4788" w:type="dxa"/>
            <w:tcBorders>
              <w:bottom w:val="single" w:sz="4" w:space="0" w:color="auto"/>
            </w:tcBorders>
          </w:tcPr>
          <w:p w14:paraId="43DE2A3B" w14:textId="77777777" w:rsidR="00CC6D07" w:rsidRDefault="00CC6D07"/>
        </w:tc>
      </w:tr>
      <w:tr w:rsidR="00CC6D07" w14:paraId="4E825C98" w14:textId="77777777">
        <w:tc>
          <w:tcPr>
            <w:tcW w:w="4788" w:type="dxa"/>
          </w:tcPr>
          <w:p w14:paraId="4F9B4B7F" w14:textId="77777777" w:rsidR="00CC6D07" w:rsidRDefault="00CC6D07"/>
        </w:tc>
        <w:tc>
          <w:tcPr>
            <w:tcW w:w="4788" w:type="dxa"/>
            <w:tcBorders>
              <w:top w:val="single" w:sz="4" w:space="0" w:color="auto"/>
            </w:tcBorders>
          </w:tcPr>
          <w:p w14:paraId="13AC27DF" w14:textId="77777777" w:rsidR="00CC6D07" w:rsidRDefault="00CC6D07">
            <w:r>
              <w:t>Notary Public</w:t>
            </w:r>
          </w:p>
        </w:tc>
      </w:tr>
    </w:tbl>
    <w:p w14:paraId="7A27111A" w14:textId="77777777" w:rsidR="00CC6D07" w:rsidRDefault="00CC6D07"/>
    <w:p w14:paraId="47C80323" w14:textId="77777777" w:rsidR="00CC6D07" w:rsidRDefault="00CC6D07">
      <w:r>
        <w:t>My Commission Expires:</w:t>
      </w:r>
    </w:p>
    <w:p w14:paraId="5F2D36BF" w14:textId="77777777" w:rsidR="00CC6D07" w:rsidRDefault="00CC6D07"/>
    <w:p w14:paraId="649A1FD7" w14:textId="77777777" w:rsidR="00CC6D07" w:rsidRDefault="00CC6D07">
      <w:r>
        <w:t>______________________________</w:t>
      </w:r>
    </w:p>
    <w:p w14:paraId="07C46EE0" w14:textId="77777777" w:rsidR="00CC6D07" w:rsidRDefault="00CC6D07"/>
    <w:p w14:paraId="15DE2CD8" w14:textId="77777777" w:rsidR="00CC6D07" w:rsidRDefault="00CC6D07"/>
    <w:p w14:paraId="076B070E" w14:textId="77777777" w:rsidR="00BF125B" w:rsidRDefault="00BF125B">
      <w:pPr>
        <w:rPr>
          <w:rStyle w:val="FilenameCharacterStyle"/>
        </w:rPr>
      </w:pPr>
    </w:p>
    <w:sectPr w:rsidR="00BF125B">
      <w:footerReference w:type="default" r:id="rId1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B373A" w14:textId="77777777" w:rsidR="000855F5" w:rsidRDefault="000855F5" w:rsidP="00AB4EBE">
      <w:r>
        <w:separator/>
      </w:r>
    </w:p>
  </w:endnote>
  <w:endnote w:type="continuationSeparator" w:id="0">
    <w:p w14:paraId="5E4CB958" w14:textId="77777777" w:rsidR="000855F5" w:rsidRDefault="000855F5" w:rsidP="00AB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BC88" w14:textId="77777777" w:rsidR="00AB4EBE" w:rsidRDefault="00AB4EBE">
    <w:pPr>
      <w:pStyle w:val="Footer"/>
      <w:jc w:val="center"/>
    </w:pPr>
    <w:r>
      <w:fldChar w:fldCharType="begin"/>
    </w:r>
    <w:r>
      <w:instrText xml:space="preserve"> PAGE   \* MERGEFORMAT </w:instrText>
    </w:r>
    <w:r>
      <w:fldChar w:fldCharType="separate"/>
    </w:r>
    <w:r>
      <w:rPr>
        <w:noProof/>
      </w:rPr>
      <w:t>2</w:t>
    </w:r>
    <w:r>
      <w:rPr>
        <w:noProof/>
      </w:rPr>
      <w:fldChar w:fldCharType="end"/>
    </w:r>
  </w:p>
  <w:p w14:paraId="11C17437" w14:textId="77777777" w:rsidR="00AB4EBE" w:rsidRDefault="00AB4E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AB08B" w14:textId="77777777" w:rsidR="000855F5" w:rsidRDefault="000855F5" w:rsidP="00AB4EBE">
      <w:r>
        <w:separator/>
      </w:r>
    </w:p>
  </w:footnote>
  <w:footnote w:type="continuationSeparator" w:id="0">
    <w:p w14:paraId="7767CE3D" w14:textId="77777777" w:rsidR="000855F5" w:rsidRDefault="000855F5" w:rsidP="00AB4E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F0ED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084BA0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DC73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D74D6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1208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C40AFB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58F0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18860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43E28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B3A30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B1156"/>
    <w:multiLevelType w:val="hybridMultilevel"/>
    <w:tmpl w:val="7D40844C"/>
    <w:lvl w:ilvl="0" w:tplc="A964E192">
      <w:start w:val="1"/>
      <w:numFmt w:val="decimal"/>
      <w:pStyle w:val="PleadingPara"/>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D532FC"/>
    <w:multiLevelType w:val="hybridMultilevel"/>
    <w:tmpl w:val="FB8CBDA8"/>
    <w:lvl w:ilvl="0" w:tplc="85A23342">
      <w:start w:val="3"/>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16040C4"/>
    <w:multiLevelType w:val="multilevel"/>
    <w:tmpl w:val="34D068D6"/>
    <w:lvl w:ilvl="0">
      <w:start w:val="1"/>
      <w:numFmt w:val="upperRoman"/>
      <w:pStyle w:val="ArticleNo"/>
      <w:suff w:val="nothing"/>
      <w:lvlText w:val="ARTICLE %1"/>
      <w:lvlJc w:val="left"/>
      <w:pPr>
        <w:ind w:left="0" w:firstLine="0"/>
      </w:pPr>
      <w:rPr>
        <w:rFonts w:hint="default"/>
        <w:b w:val="0"/>
        <w:i w:val="0"/>
      </w:rPr>
    </w:lvl>
    <w:lvl w:ilvl="1">
      <w:start w:val="1"/>
      <w:numFmt w:val="decimal"/>
      <w:lvlText w:val="%2."/>
      <w:lvlJc w:val="left"/>
      <w:pPr>
        <w:tabs>
          <w:tab w:val="num" w:pos="1080"/>
        </w:tabs>
        <w:ind w:left="-720" w:firstLine="1440"/>
      </w:pPr>
      <w:rPr>
        <w:rFonts w:hint="default"/>
      </w:rPr>
    </w:lvl>
    <w:lvl w:ilvl="2">
      <w:start w:val="1"/>
      <w:numFmt w:val="decimal"/>
      <w:lvlText w:val="(%3)"/>
      <w:lvlJc w:val="left"/>
      <w:pPr>
        <w:tabs>
          <w:tab w:val="num" w:pos="1800"/>
        </w:tabs>
        <w:ind w:left="-720" w:firstLine="2160"/>
      </w:pPr>
      <w:rPr>
        <w:rFonts w:hint="default"/>
      </w:rPr>
    </w:lvl>
    <w:lvl w:ilvl="3">
      <w:start w:val="1"/>
      <w:numFmt w:val="lowerLetter"/>
      <w:lvlText w:val="(%4)"/>
      <w:lvlJc w:val="left"/>
      <w:pPr>
        <w:tabs>
          <w:tab w:val="num" w:pos="2520"/>
        </w:tabs>
        <w:ind w:left="-720" w:firstLine="2880"/>
      </w:pPr>
      <w:rPr>
        <w:rFonts w:hint="default"/>
      </w:rPr>
    </w:lvl>
    <w:lvl w:ilvl="4">
      <w:start w:val="1"/>
      <w:numFmt w:val="lowerRoman"/>
      <w:lvlText w:val="(%5)"/>
      <w:lvlJc w:val="left"/>
      <w:pPr>
        <w:tabs>
          <w:tab w:val="num" w:pos="3600"/>
        </w:tabs>
        <w:ind w:left="-720" w:firstLine="3600"/>
      </w:pPr>
      <w:rPr>
        <w:rFonts w:hint="default"/>
      </w:rPr>
    </w:lvl>
    <w:lvl w:ilvl="5">
      <w:start w:val="1"/>
      <w:numFmt w:val="lowerLetter"/>
      <w:lvlText w:val="(%6)"/>
      <w:lvlJc w:val="left"/>
      <w:pPr>
        <w:tabs>
          <w:tab w:val="num" w:pos="3240"/>
        </w:tabs>
        <w:ind w:left="-720" w:firstLine="3600"/>
      </w:pPr>
      <w:rPr>
        <w:rFonts w:hint="default"/>
      </w:rPr>
    </w:lvl>
    <w:lvl w:ilvl="6">
      <w:start w:val="1"/>
      <w:numFmt w:val="lowerRoman"/>
      <w:lvlText w:val="(%7)"/>
      <w:lvlJc w:val="left"/>
      <w:pPr>
        <w:tabs>
          <w:tab w:val="num" w:pos="4320"/>
        </w:tabs>
        <w:ind w:left="-720" w:firstLine="4320"/>
      </w:pPr>
      <w:rPr>
        <w:rFonts w:hint="default"/>
      </w:rPr>
    </w:lvl>
    <w:lvl w:ilvl="7">
      <w:start w:val="1"/>
      <w:numFmt w:val="lowerLetter"/>
      <w:lvlText w:val="(%8)"/>
      <w:lvlJc w:val="left"/>
      <w:pPr>
        <w:tabs>
          <w:tab w:val="num" w:pos="4680"/>
        </w:tabs>
        <w:ind w:left="-720" w:firstLine="5040"/>
      </w:pPr>
      <w:rPr>
        <w:rFonts w:hint="default"/>
      </w:rPr>
    </w:lvl>
    <w:lvl w:ilvl="8">
      <w:start w:val="1"/>
      <w:numFmt w:val="lowerRoman"/>
      <w:lvlText w:val="(%9)"/>
      <w:lvlJc w:val="left"/>
      <w:pPr>
        <w:tabs>
          <w:tab w:val="num" w:pos="5760"/>
        </w:tabs>
        <w:ind w:left="-720" w:firstLine="5760"/>
      </w:pPr>
      <w:rPr>
        <w:rFonts w:hint="default"/>
      </w:rPr>
    </w:lvl>
  </w:abstractNum>
  <w:abstractNum w:abstractNumId="13" w15:restartNumberingAfterBreak="0">
    <w:nsid w:val="46C955AD"/>
    <w:multiLevelType w:val="multilevel"/>
    <w:tmpl w:val="C46ABF88"/>
    <w:lvl w:ilvl="0">
      <w:start w:val="1"/>
      <w:numFmt w:val="decimal"/>
      <w:pStyle w:val="HeadingforINHABTISP"/>
      <w:lvlText w:val="%1."/>
      <w:lvlJc w:val="left"/>
      <w:pPr>
        <w:tabs>
          <w:tab w:val="num" w:pos="1080"/>
        </w:tabs>
        <w:ind w:left="0" w:firstLine="720"/>
      </w:pPr>
      <w:rPr>
        <w:rFonts w:hint="default"/>
      </w:rPr>
    </w:lvl>
    <w:lvl w:ilvl="1">
      <w:start w:val="1"/>
      <w:numFmt w:val="upperLetter"/>
      <w:lvlText w:val="%2."/>
      <w:lvlJc w:val="left"/>
      <w:pPr>
        <w:tabs>
          <w:tab w:val="num" w:pos="1800"/>
        </w:tabs>
        <w:ind w:left="0" w:firstLine="1440"/>
      </w:pPr>
      <w:rPr>
        <w:rFonts w:hint="default"/>
      </w:rPr>
    </w:lvl>
    <w:lvl w:ilvl="2">
      <w:start w:val="1"/>
      <w:numFmt w:val="decimal"/>
      <w:lvlText w:val="(%3)"/>
      <w:lvlJc w:val="left"/>
      <w:pPr>
        <w:tabs>
          <w:tab w:val="num" w:pos="2520"/>
        </w:tabs>
        <w:ind w:left="0" w:firstLine="2160"/>
      </w:pPr>
      <w:rPr>
        <w:rFonts w:hint="default"/>
      </w:rPr>
    </w:lvl>
    <w:lvl w:ilvl="3">
      <w:start w:val="1"/>
      <w:numFmt w:val="lowerLetter"/>
      <w:lvlText w:val="(%4)"/>
      <w:lvlJc w:val="left"/>
      <w:pPr>
        <w:tabs>
          <w:tab w:val="num" w:pos="3240"/>
        </w:tabs>
        <w:ind w:left="0" w:firstLine="2880"/>
      </w:pPr>
      <w:rPr>
        <w:rFonts w:hint="default"/>
      </w:rPr>
    </w:lvl>
    <w:lvl w:ilvl="4">
      <w:start w:val="1"/>
      <w:numFmt w:val="lowerRoman"/>
      <w:lvlText w:val="(%5)"/>
      <w:lvlJc w:val="left"/>
      <w:pPr>
        <w:tabs>
          <w:tab w:val="num" w:pos="4320"/>
        </w:tabs>
        <w:ind w:left="0" w:firstLine="3600"/>
      </w:pPr>
      <w:rPr>
        <w:rFonts w:hint="default"/>
      </w:rPr>
    </w:lvl>
    <w:lvl w:ilvl="5">
      <w:start w:val="1"/>
      <w:numFmt w:val="decimal"/>
      <w:lvlText w:val="(%6)"/>
      <w:lvlJc w:val="left"/>
      <w:pPr>
        <w:tabs>
          <w:tab w:val="num" w:pos="4680"/>
        </w:tabs>
        <w:ind w:left="0" w:firstLine="4320"/>
      </w:pPr>
      <w:rPr>
        <w:rFonts w:hint="default"/>
      </w:rPr>
    </w:lvl>
    <w:lvl w:ilvl="6">
      <w:start w:val="1"/>
      <w:numFmt w:val="upperLetter"/>
      <w:lvlText w:val="(%7)"/>
      <w:lvlJc w:val="left"/>
      <w:pPr>
        <w:tabs>
          <w:tab w:val="num" w:pos="5400"/>
        </w:tabs>
        <w:ind w:left="0" w:firstLine="5040"/>
      </w:pPr>
      <w:rPr>
        <w:rFonts w:hint="default"/>
      </w:rPr>
    </w:lvl>
    <w:lvl w:ilvl="7">
      <w:start w:val="1"/>
      <w:numFmt w:val="decimal"/>
      <w:lvlText w:val="(%8)"/>
      <w:lvlJc w:val="left"/>
      <w:pPr>
        <w:tabs>
          <w:tab w:val="num" w:pos="6120"/>
        </w:tabs>
        <w:ind w:left="0" w:firstLine="5760"/>
      </w:pPr>
      <w:rPr>
        <w:rFonts w:hint="default"/>
      </w:rPr>
    </w:lvl>
    <w:lvl w:ilvl="8">
      <w:start w:val="1"/>
      <w:numFmt w:val="lowerLetter"/>
      <w:lvlText w:val="(%9)"/>
      <w:lvlJc w:val="left"/>
      <w:pPr>
        <w:tabs>
          <w:tab w:val="num" w:pos="6840"/>
        </w:tabs>
        <w:ind w:left="0" w:firstLine="6480"/>
      </w:pPr>
      <w:rPr>
        <w:rFonts w:hint="default"/>
      </w:rPr>
    </w:lvl>
  </w:abstractNum>
  <w:abstractNum w:abstractNumId="14" w15:restartNumberingAfterBreak="0">
    <w:nsid w:val="4EC05056"/>
    <w:multiLevelType w:val="multilevel"/>
    <w:tmpl w:val="8E34C40A"/>
    <w:lvl w:ilvl="0">
      <w:start w:val="1"/>
      <w:numFmt w:val="decimal"/>
      <w:pStyle w:val="ParaOutlineLevel2SS"/>
      <w:lvlText w:val="%1."/>
      <w:lvlJc w:val="left"/>
      <w:pPr>
        <w:tabs>
          <w:tab w:val="num" w:pos="360"/>
        </w:tabs>
        <w:ind w:left="-720" w:firstLine="720"/>
      </w:pPr>
      <w:rPr>
        <w:rFonts w:hint="default"/>
      </w:rPr>
    </w:lvl>
    <w:lvl w:ilvl="1">
      <w:start w:val="1"/>
      <w:numFmt w:val="upperLetter"/>
      <w:lvlText w:val="%2."/>
      <w:lvlJc w:val="left"/>
      <w:pPr>
        <w:tabs>
          <w:tab w:val="num" w:pos="1080"/>
        </w:tabs>
        <w:ind w:left="0" w:firstLine="720"/>
      </w:pPr>
      <w:rPr>
        <w:rFonts w:hint="default"/>
      </w:rPr>
    </w:lvl>
    <w:lvl w:ilvl="2">
      <w:start w:val="1"/>
      <w:numFmt w:val="decimal"/>
      <w:lvlText w:val="(%3)"/>
      <w:lvlJc w:val="left"/>
      <w:pPr>
        <w:tabs>
          <w:tab w:val="num" w:pos="1800"/>
        </w:tabs>
        <w:ind w:left="-720" w:firstLine="2160"/>
      </w:pPr>
      <w:rPr>
        <w:rFonts w:hint="default"/>
      </w:rPr>
    </w:lvl>
    <w:lvl w:ilvl="3">
      <w:start w:val="1"/>
      <w:numFmt w:val="lowerLetter"/>
      <w:lvlText w:val="(%4)"/>
      <w:lvlJc w:val="left"/>
      <w:pPr>
        <w:tabs>
          <w:tab w:val="num" w:pos="2880"/>
        </w:tabs>
        <w:ind w:left="-720" w:firstLine="288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5" w15:restartNumberingAfterBreak="0">
    <w:nsid w:val="704854CE"/>
    <w:multiLevelType w:val="multilevel"/>
    <w:tmpl w:val="3856C442"/>
    <w:lvl w:ilvl="0">
      <w:start w:val="1"/>
      <w:numFmt w:val="decimal"/>
      <w:pStyle w:val="ParaDS"/>
      <w:lvlText w:val="%1."/>
      <w:lvlJc w:val="left"/>
      <w:pPr>
        <w:tabs>
          <w:tab w:val="num" w:pos="1080"/>
        </w:tabs>
        <w:ind w:left="0" w:firstLine="720"/>
      </w:pPr>
      <w:rPr>
        <w:rFonts w:hint="default"/>
      </w:rPr>
    </w:lvl>
    <w:lvl w:ilvl="1">
      <w:start w:val="1"/>
      <w:numFmt w:val="upperLetter"/>
      <w:lvlText w:val="%2."/>
      <w:lvlJc w:val="left"/>
      <w:pPr>
        <w:tabs>
          <w:tab w:val="num" w:pos="1800"/>
        </w:tabs>
        <w:ind w:left="0" w:firstLine="1440"/>
      </w:pPr>
      <w:rPr>
        <w:rFonts w:hint="default"/>
      </w:rPr>
    </w:lvl>
    <w:lvl w:ilvl="2">
      <w:start w:val="1"/>
      <w:numFmt w:val="decimal"/>
      <w:lvlText w:val="(%3)"/>
      <w:lvlJc w:val="left"/>
      <w:pPr>
        <w:tabs>
          <w:tab w:val="num" w:pos="2520"/>
        </w:tabs>
        <w:ind w:left="0" w:firstLine="2160"/>
      </w:pPr>
      <w:rPr>
        <w:rFonts w:hint="default"/>
      </w:rPr>
    </w:lvl>
    <w:lvl w:ilvl="3">
      <w:start w:val="1"/>
      <w:numFmt w:val="lowerLetter"/>
      <w:lvlText w:val="(%4)"/>
      <w:lvlJc w:val="left"/>
      <w:pPr>
        <w:tabs>
          <w:tab w:val="num" w:pos="3600"/>
        </w:tabs>
        <w:ind w:left="0" w:firstLine="2880"/>
      </w:pPr>
      <w:rPr>
        <w:rFonts w:hint="default"/>
      </w:rPr>
    </w:lvl>
    <w:lvl w:ilvl="4">
      <w:start w:val="1"/>
      <w:numFmt w:val="lowerRoman"/>
      <w:lvlText w:val="(%5)"/>
      <w:lvlJc w:val="left"/>
      <w:pPr>
        <w:tabs>
          <w:tab w:val="num" w:pos="4320"/>
        </w:tabs>
        <w:ind w:left="0" w:firstLine="360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7273734A"/>
    <w:multiLevelType w:val="multilevel"/>
    <w:tmpl w:val="EC3EC044"/>
    <w:lvl w:ilvl="0">
      <w:start w:val="1"/>
      <w:numFmt w:val="upperLetter"/>
      <w:pStyle w:val="ParaSS"/>
      <w:lvlText w:val="%1."/>
      <w:lvlJc w:val="left"/>
      <w:pPr>
        <w:tabs>
          <w:tab w:val="num" w:pos="1080"/>
        </w:tabs>
        <w:ind w:left="0" w:firstLine="720"/>
      </w:pPr>
      <w:rPr>
        <w:rFonts w:hint="default"/>
      </w:rPr>
    </w:lvl>
    <w:lvl w:ilvl="1">
      <w:start w:val="1"/>
      <w:numFmt w:val="decimal"/>
      <w:lvlText w:val="%2."/>
      <w:lvlJc w:val="left"/>
      <w:pPr>
        <w:tabs>
          <w:tab w:val="num" w:pos="1800"/>
        </w:tabs>
        <w:ind w:left="0" w:firstLine="1440"/>
      </w:pPr>
      <w:rPr>
        <w:rFonts w:hint="default"/>
      </w:rPr>
    </w:lvl>
    <w:lvl w:ilvl="2">
      <w:start w:val="1"/>
      <w:numFmt w:val="decimal"/>
      <w:lvlText w:val="(%3)"/>
      <w:lvlJc w:val="left"/>
      <w:pPr>
        <w:tabs>
          <w:tab w:val="num" w:pos="2520"/>
        </w:tabs>
        <w:ind w:left="0" w:firstLine="2160"/>
      </w:pPr>
      <w:rPr>
        <w:rFonts w:hint="default"/>
      </w:rPr>
    </w:lvl>
    <w:lvl w:ilvl="3">
      <w:start w:val="1"/>
      <w:numFmt w:val="lowerLetter"/>
      <w:lvlText w:val="(%4)"/>
      <w:lvlJc w:val="left"/>
      <w:pPr>
        <w:tabs>
          <w:tab w:val="num" w:pos="3240"/>
        </w:tabs>
        <w:ind w:left="0" w:firstLine="2880"/>
      </w:pPr>
      <w:rPr>
        <w:rFonts w:hint="default"/>
      </w:rPr>
    </w:lvl>
    <w:lvl w:ilvl="4">
      <w:start w:val="1"/>
      <w:numFmt w:val="lowerRoman"/>
      <w:lvlText w:val="(%5)"/>
      <w:lvlJc w:val="left"/>
      <w:pPr>
        <w:tabs>
          <w:tab w:val="num" w:pos="4320"/>
        </w:tabs>
        <w:ind w:left="0" w:firstLine="3600"/>
      </w:pPr>
      <w:rPr>
        <w:rFonts w:hint="default"/>
      </w:rPr>
    </w:lvl>
    <w:lvl w:ilvl="5">
      <w:start w:val="1"/>
      <w:numFmt w:val="lowerLetter"/>
      <w:pStyle w:val="Heading6"/>
      <w:lvlText w:val="(%6)"/>
      <w:lvlJc w:val="left"/>
      <w:pPr>
        <w:tabs>
          <w:tab w:val="num" w:pos="3960"/>
        </w:tabs>
        <w:ind w:left="0" w:firstLine="3600"/>
      </w:pPr>
      <w:rPr>
        <w:rFonts w:hint="default"/>
      </w:rPr>
    </w:lvl>
    <w:lvl w:ilvl="6">
      <w:start w:val="1"/>
      <w:numFmt w:val="lowerRoman"/>
      <w:pStyle w:val="Heading7"/>
      <w:lvlText w:val="(%7)"/>
      <w:lvlJc w:val="left"/>
      <w:pPr>
        <w:tabs>
          <w:tab w:val="num" w:pos="5040"/>
        </w:tabs>
        <w:ind w:left="0" w:firstLine="4320"/>
      </w:pPr>
      <w:rPr>
        <w:rFonts w:hint="default"/>
      </w:rPr>
    </w:lvl>
    <w:lvl w:ilvl="7">
      <w:start w:val="1"/>
      <w:numFmt w:val="lowerLetter"/>
      <w:pStyle w:val="Heading8"/>
      <w:lvlText w:val="(%8)"/>
      <w:lvlJc w:val="left"/>
      <w:pPr>
        <w:tabs>
          <w:tab w:val="num" w:pos="5400"/>
        </w:tabs>
        <w:ind w:left="0" w:firstLine="5040"/>
      </w:pPr>
      <w:rPr>
        <w:rFonts w:hint="default"/>
      </w:rPr>
    </w:lvl>
    <w:lvl w:ilvl="8">
      <w:start w:val="1"/>
      <w:numFmt w:val="lowerRoman"/>
      <w:pStyle w:val="Heading9"/>
      <w:lvlText w:val="(%9)"/>
      <w:lvlJc w:val="left"/>
      <w:pPr>
        <w:tabs>
          <w:tab w:val="num" w:pos="6480"/>
        </w:tabs>
        <w:ind w:left="0" w:firstLine="5760"/>
      </w:pPr>
      <w:rPr>
        <w:rFonts w:hint="default"/>
      </w:rPr>
    </w:lvl>
  </w:abstractNum>
  <w:abstractNum w:abstractNumId="17" w15:restartNumberingAfterBreak="0">
    <w:nsid w:val="74843851"/>
    <w:multiLevelType w:val="multilevel"/>
    <w:tmpl w:val="A22260BC"/>
    <w:lvl w:ilvl="0">
      <w:start w:val="1"/>
      <w:numFmt w:val="decimal"/>
      <w:pStyle w:val="ParaDSIndentLevels"/>
      <w:lvlText w:val="%1."/>
      <w:lvlJc w:val="left"/>
      <w:pPr>
        <w:tabs>
          <w:tab w:val="num" w:pos="1080"/>
        </w:tabs>
        <w:ind w:left="0" w:firstLine="720"/>
      </w:pPr>
      <w:rPr>
        <w:rFonts w:hint="default"/>
      </w:rPr>
    </w:lvl>
    <w:lvl w:ilvl="1">
      <w:start w:val="1"/>
      <w:numFmt w:val="upperLetter"/>
      <w:lvlText w:val="%2."/>
      <w:lvlJc w:val="left"/>
      <w:pPr>
        <w:tabs>
          <w:tab w:val="num" w:pos="1800"/>
        </w:tabs>
        <w:ind w:left="720" w:firstLine="720"/>
      </w:pPr>
      <w:rPr>
        <w:rFonts w:hint="default"/>
      </w:rPr>
    </w:lvl>
    <w:lvl w:ilvl="2">
      <w:start w:val="1"/>
      <w:numFmt w:val="decimal"/>
      <w:lvlText w:val="(%3)"/>
      <w:lvlJc w:val="left"/>
      <w:pPr>
        <w:tabs>
          <w:tab w:val="num" w:pos="2520"/>
        </w:tabs>
        <w:ind w:left="1440" w:firstLine="720"/>
      </w:pPr>
      <w:rPr>
        <w:rFonts w:hint="default"/>
      </w:rPr>
    </w:lvl>
    <w:lvl w:ilvl="3">
      <w:start w:val="1"/>
      <w:numFmt w:val="lowerLetter"/>
      <w:lvlText w:val="(%4)"/>
      <w:lvlJc w:val="left"/>
      <w:pPr>
        <w:tabs>
          <w:tab w:val="num" w:pos="3240"/>
        </w:tabs>
        <w:ind w:left="2160" w:firstLine="720"/>
      </w:pPr>
      <w:rPr>
        <w:rFonts w:hint="default"/>
      </w:rPr>
    </w:lvl>
    <w:lvl w:ilvl="4">
      <w:start w:val="1"/>
      <w:numFmt w:val="lowerRoman"/>
      <w:lvlText w:val="(%5)"/>
      <w:lvlJc w:val="left"/>
      <w:pPr>
        <w:tabs>
          <w:tab w:val="num" w:pos="4320"/>
        </w:tabs>
        <w:ind w:left="2880" w:firstLine="720"/>
      </w:pPr>
      <w:rPr>
        <w:rFonts w:hint="default"/>
      </w:rPr>
    </w:lvl>
    <w:lvl w:ilvl="5">
      <w:start w:val="1"/>
      <w:numFmt w:val="decimal"/>
      <w:lvlText w:val="(%6)"/>
      <w:lvlJc w:val="left"/>
      <w:pPr>
        <w:tabs>
          <w:tab w:val="num" w:pos="4680"/>
        </w:tabs>
        <w:ind w:left="3600" w:firstLine="720"/>
      </w:pPr>
      <w:rPr>
        <w:rFonts w:hint="default"/>
      </w:rPr>
    </w:lvl>
    <w:lvl w:ilvl="6">
      <w:start w:val="1"/>
      <w:numFmt w:val="upperLetter"/>
      <w:lvlText w:val="(%7)"/>
      <w:lvlJc w:val="left"/>
      <w:pPr>
        <w:tabs>
          <w:tab w:val="num" w:pos="5400"/>
        </w:tabs>
        <w:ind w:left="4320" w:firstLine="720"/>
      </w:pPr>
      <w:rPr>
        <w:rFonts w:hint="default"/>
      </w:rPr>
    </w:lvl>
    <w:lvl w:ilvl="7">
      <w:start w:val="1"/>
      <w:numFmt w:val="decimal"/>
      <w:lvlText w:val="(%8)"/>
      <w:lvlJc w:val="left"/>
      <w:pPr>
        <w:tabs>
          <w:tab w:val="num" w:pos="6120"/>
        </w:tabs>
        <w:ind w:left="5040" w:firstLine="720"/>
      </w:pPr>
      <w:rPr>
        <w:rFonts w:hint="default"/>
      </w:rPr>
    </w:lvl>
    <w:lvl w:ilvl="8">
      <w:start w:val="1"/>
      <w:numFmt w:val="lowerLetter"/>
      <w:lvlText w:val="(%9)"/>
      <w:lvlJc w:val="left"/>
      <w:pPr>
        <w:tabs>
          <w:tab w:val="num" w:pos="6840"/>
        </w:tabs>
        <w:ind w:left="5760" w:firstLine="720"/>
      </w:pPr>
      <w:rPr>
        <w:rFonts w:hint="default"/>
      </w:rPr>
    </w:lvl>
  </w:abstractNum>
  <w:abstractNum w:abstractNumId="18" w15:restartNumberingAfterBreak="0">
    <w:nsid w:val="7F0F266D"/>
    <w:multiLevelType w:val="multilevel"/>
    <w:tmpl w:val="C694D0D8"/>
    <w:lvl w:ilvl="0">
      <w:start w:val="1"/>
      <w:numFmt w:val="decimal"/>
      <w:lvlRestart w:val="0"/>
      <w:pStyle w:val="ParaSSIndentLevels"/>
      <w:lvlText w:val="%1."/>
      <w:lvlJc w:val="left"/>
      <w:pPr>
        <w:tabs>
          <w:tab w:val="num" w:pos="1080"/>
        </w:tabs>
        <w:ind w:left="0" w:firstLine="720"/>
      </w:pPr>
      <w:rPr>
        <w:rFonts w:hint="default"/>
      </w:rPr>
    </w:lvl>
    <w:lvl w:ilvl="1">
      <w:start w:val="1"/>
      <w:numFmt w:val="upperLetter"/>
      <w:lvlText w:val="%2."/>
      <w:lvlJc w:val="left"/>
      <w:pPr>
        <w:tabs>
          <w:tab w:val="num" w:pos="1800"/>
        </w:tabs>
        <w:ind w:left="720" w:firstLine="720"/>
      </w:pPr>
      <w:rPr>
        <w:rFonts w:hint="default"/>
      </w:rPr>
    </w:lvl>
    <w:lvl w:ilvl="2">
      <w:start w:val="1"/>
      <w:numFmt w:val="decimal"/>
      <w:lvlText w:val="(%3)"/>
      <w:lvlJc w:val="left"/>
      <w:pPr>
        <w:tabs>
          <w:tab w:val="num" w:pos="2520"/>
        </w:tabs>
        <w:ind w:left="1440" w:firstLine="720"/>
      </w:pPr>
      <w:rPr>
        <w:rFonts w:hint="default"/>
      </w:rPr>
    </w:lvl>
    <w:lvl w:ilvl="3">
      <w:start w:val="1"/>
      <w:numFmt w:val="lowerLetter"/>
      <w:lvlText w:val="(%4)"/>
      <w:lvlJc w:val="left"/>
      <w:pPr>
        <w:tabs>
          <w:tab w:val="num" w:pos="3240"/>
        </w:tabs>
        <w:ind w:left="2160" w:firstLine="720"/>
      </w:pPr>
      <w:rPr>
        <w:rFonts w:hint="default"/>
      </w:rPr>
    </w:lvl>
    <w:lvl w:ilvl="4">
      <w:start w:val="1"/>
      <w:numFmt w:val="lowerRoman"/>
      <w:lvlText w:val="(%5)"/>
      <w:lvlJc w:val="left"/>
      <w:pPr>
        <w:tabs>
          <w:tab w:val="num" w:pos="4320"/>
        </w:tabs>
        <w:ind w:left="2880" w:firstLine="720"/>
      </w:pPr>
      <w:rPr>
        <w:rFonts w:hint="default"/>
      </w:rPr>
    </w:lvl>
    <w:lvl w:ilvl="5">
      <w:start w:val="1"/>
      <w:numFmt w:val="lowerLetter"/>
      <w:lvlText w:val="(%6)"/>
      <w:lvlJc w:val="left"/>
      <w:pPr>
        <w:tabs>
          <w:tab w:val="num" w:pos="4680"/>
        </w:tabs>
        <w:ind w:left="3600" w:firstLine="720"/>
      </w:pPr>
      <w:rPr>
        <w:rFonts w:hint="default"/>
      </w:rPr>
    </w:lvl>
    <w:lvl w:ilvl="6">
      <w:start w:val="1"/>
      <w:numFmt w:val="lowerRoman"/>
      <w:lvlText w:val="(%7)"/>
      <w:lvlJc w:val="left"/>
      <w:pPr>
        <w:tabs>
          <w:tab w:val="num" w:pos="5760"/>
        </w:tabs>
        <w:ind w:left="4320" w:firstLine="720"/>
      </w:pPr>
      <w:rPr>
        <w:rFonts w:hint="default"/>
      </w:rPr>
    </w:lvl>
    <w:lvl w:ilvl="7">
      <w:start w:val="1"/>
      <w:numFmt w:val="lowerLetter"/>
      <w:lvlText w:val="(%8)"/>
      <w:lvlJc w:val="left"/>
      <w:pPr>
        <w:tabs>
          <w:tab w:val="num" w:pos="6120"/>
        </w:tabs>
        <w:ind w:left="5040" w:firstLine="720"/>
      </w:pPr>
      <w:rPr>
        <w:rFonts w:hint="default"/>
      </w:rPr>
    </w:lvl>
    <w:lvl w:ilvl="8">
      <w:start w:val="1"/>
      <w:numFmt w:val="lowerRoman"/>
      <w:lvlText w:val="(%9)"/>
      <w:lvlJc w:val="left"/>
      <w:pPr>
        <w:tabs>
          <w:tab w:val="num" w:pos="7200"/>
        </w:tabs>
        <w:ind w:left="5760" w:firstLine="720"/>
      </w:pPr>
      <w:rPr>
        <w:rFonts w:hint="default"/>
      </w:rPr>
    </w:lvl>
  </w:abstractNum>
  <w:num w:numId="1" w16cid:durableId="382489819">
    <w:abstractNumId w:val="11"/>
  </w:num>
  <w:num w:numId="2" w16cid:durableId="754209484">
    <w:abstractNumId w:val="9"/>
  </w:num>
  <w:num w:numId="3" w16cid:durableId="896011478">
    <w:abstractNumId w:val="7"/>
  </w:num>
  <w:num w:numId="4" w16cid:durableId="493421039">
    <w:abstractNumId w:val="6"/>
  </w:num>
  <w:num w:numId="5" w16cid:durableId="1812479515">
    <w:abstractNumId w:val="5"/>
  </w:num>
  <w:num w:numId="6" w16cid:durableId="1192646613">
    <w:abstractNumId w:val="4"/>
  </w:num>
  <w:num w:numId="7" w16cid:durableId="1416784562">
    <w:abstractNumId w:val="8"/>
  </w:num>
  <w:num w:numId="8" w16cid:durableId="1992251997">
    <w:abstractNumId w:val="3"/>
  </w:num>
  <w:num w:numId="9" w16cid:durableId="2064937509">
    <w:abstractNumId w:val="2"/>
  </w:num>
  <w:num w:numId="10" w16cid:durableId="1413505021">
    <w:abstractNumId w:val="1"/>
  </w:num>
  <w:num w:numId="11" w16cid:durableId="856117074">
    <w:abstractNumId w:val="0"/>
  </w:num>
  <w:num w:numId="12" w16cid:durableId="829250870">
    <w:abstractNumId w:val="16"/>
  </w:num>
  <w:num w:numId="13" w16cid:durableId="762918359">
    <w:abstractNumId w:val="16"/>
  </w:num>
  <w:num w:numId="14" w16cid:durableId="895050163">
    <w:abstractNumId w:val="16"/>
  </w:num>
  <w:num w:numId="15" w16cid:durableId="1737430764">
    <w:abstractNumId w:val="16"/>
  </w:num>
  <w:num w:numId="16" w16cid:durableId="541139665">
    <w:abstractNumId w:val="13"/>
  </w:num>
  <w:num w:numId="17" w16cid:durableId="1786074997">
    <w:abstractNumId w:val="15"/>
  </w:num>
  <w:num w:numId="18" w16cid:durableId="1871408009">
    <w:abstractNumId w:val="17"/>
  </w:num>
  <w:num w:numId="19" w16cid:durableId="633145853">
    <w:abstractNumId w:val="14"/>
  </w:num>
  <w:num w:numId="20" w16cid:durableId="1652098391">
    <w:abstractNumId w:val="16"/>
  </w:num>
  <w:num w:numId="21" w16cid:durableId="169295680">
    <w:abstractNumId w:val="18"/>
  </w:num>
  <w:num w:numId="22" w16cid:durableId="739325068">
    <w:abstractNumId w:val="10"/>
  </w:num>
  <w:num w:numId="23" w16cid:durableId="449932087">
    <w:abstractNumId w:val="12"/>
  </w:num>
  <w:num w:numId="24" w16cid:durableId="1681810179">
    <w:abstractNumId w:val="16"/>
  </w:num>
  <w:num w:numId="25" w16cid:durableId="10895445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201590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49078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30412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76899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978383">
    <w:abstractNumId w:val="16"/>
  </w:num>
  <w:num w:numId="31" w16cid:durableId="10890390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206537">
    <w:abstractNumId w:val="16"/>
  </w:num>
  <w:num w:numId="33" w16cid:durableId="594240962">
    <w:abstractNumId w:val="16"/>
  </w:num>
  <w:num w:numId="34" w16cid:durableId="279486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75326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49325590">
    <w:abstractNumId w:val="16"/>
  </w:num>
  <w:num w:numId="37" w16cid:durableId="14668526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652"/>
    <w:rsid w:val="000855F5"/>
    <w:rsid w:val="004A420B"/>
    <w:rsid w:val="00661A16"/>
    <w:rsid w:val="007C259E"/>
    <w:rsid w:val="008B273F"/>
    <w:rsid w:val="008F5EAD"/>
    <w:rsid w:val="009D7B0F"/>
    <w:rsid w:val="009E75B1"/>
    <w:rsid w:val="00A651D6"/>
    <w:rsid w:val="00AB4EBE"/>
    <w:rsid w:val="00B754CC"/>
    <w:rsid w:val="00BF125B"/>
    <w:rsid w:val="00C829B8"/>
    <w:rsid w:val="00CC6D07"/>
    <w:rsid w:val="00EA0449"/>
    <w:rsid w:val="00FA0C39"/>
    <w:rsid w:val="00FD6652"/>
    <w:rsid w:val="00FF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86268"/>
  <w15:chartTrackingRefBased/>
  <w15:docId w15:val="{F0BFE6F9-4B17-44B3-8DCB-31498F1EE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cs="Arial"/>
      <w:b/>
      <w:bCs/>
      <w:caps/>
      <w:kern w:val="32"/>
      <w:szCs w:val="32"/>
      <w:u w:val="single"/>
    </w:rPr>
  </w:style>
  <w:style w:type="paragraph" w:styleId="Heading2">
    <w:name w:val="heading 2"/>
    <w:basedOn w:val="Normal"/>
    <w:next w:val="Normal"/>
    <w:qFormat/>
    <w:pPr>
      <w:keepNext/>
      <w:spacing w:before="240" w:after="60"/>
      <w:outlineLvl w:val="1"/>
    </w:pPr>
    <w:rPr>
      <w:rFonts w:cs="Arial"/>
      <w:b/>
      <w:bCs/>
      <w:iCs/>
      <w:szCs w:val="28"/>
      <w:u w:val="single"/>
    </w:rPr>
  </w:style>
  <w:style w:type="paragraph" w:styleId="Heading3">
    <w:name w:val="heading 3"/>
    <w:basedOn w:val="Normal"/>
    <w:next w:val="Normal"/>
    <w:qFormat/>
    <w:pPr>
      <w:keepNext/>
      <w:spacing w:before="240" w:after="60"/>
      <w:outlineLvl w:val="2"/>
    </w:pPr>
    <w:rPr>
      <w:rFonts w:cs="Arial"/>
      <w:bCs/>
      <w:szCs w:val="26"/>
      <w:u w:val="single"/>
    </w:rPr>
  </w:style>
  <w:style w:type="paragraph" w:styleId="Heading6">
    <w:name w:val="heading 6"/>
    <w:basedOn w:val="Normal"/>
    <w:next w:val="Normal"/>
    <w:qFormat/>
    <w:pPr>
      <w:numPr>
        <w:ilvl w:val="5"/>
        <w:numId w:val="36"/>
      </w:numPr>
      <w:spacing w:before="240" w:after="60"/>
      <w:outlineLvl w:val="5"/>
    </w:pPr>
    <w:rPr>
      <w:b/>
      <w:bCs/>
      <w:sz w:val="22"/>
      <w:szCs w:val="22"/>
    </w:rPr>
  </w:style>
  <w:style w:type="paragraph" w:styleId="Heading7">
    <w:name w:val="heading 7"/>
    <w:basedOn w:val="Normal"/>
    <w:next w:val="Normal"/>
    <w:qFormat/>
    <w:pPr>
      <w:numPr>
        <w:ilvl w:val="6"/>
        <w:numId w:val="36"/>
      </w:numPr>
      <w:spacing w:before="240" w:after="60"/>
      <w:outlineLvl w:val="6"/>
    </w:pPr>
  </w:style>
  <w:style w:type="paragraph" w:styleId="Heading8">
    <w:name w:val="heading 8"/>
    <w:basedOn w:val="Normal"/>
    <w:next w:val="Normal"/>
    <w:qFormat/>
    <w:pPr>
      <w:numPr>
        <w:ilvl w:val="7"/>
        <w:numId w:val="36"/>
      </w:numPr>
      <w:spacing w:before="240" w:after="60"/>
      <w:outlineLvl w:val="7"/>
    </w:pPr>
    <w:rPr>
      <w:i/>
      <w:iCs/>
    </w:rPr>
  </w:style>
  <w:style w:type="paragraph" w:styleId="Heading9">
    <w:name w:val="heading 9"/>
    <w:basedOn w:val="Normal"/>
    <w:next w:val="Normal"/>
    <w:qFormat/>
    <w:pPr>
      <w:numPr>
        <w:ilvl w:val="8"/>
        <w:numId w:val="36"/>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rPr>
      <w:rFonts w:cs="Arial"/>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keepNext/>
      <w:keepLines/>
      <w:spacing w:after="240"/>
      <w:jc w:val="center"/>
    </w:pPr>
    <w:rPr>
      <w:rFonts w:cs="Arial"/>
      <w:b/>
      <w:bCs/>
      <w:szCs w:val="32"/>
      <w:u w:val="single"/>
    </w:rPr>
  </w:style>
  <w:style w:type="character" w:customStyle="1" w:styleId="TitleChar">
    <w:name w:val="Title Char"/>
    <w:rPr>
      <w:rFonts w:ascii="Cambria" w:eastAsia="Times New Roman" w:hAnsi="Cambria" w:cs="Times New Roman"/>
      <w:b/>
      <w:bCs/>
      <w:kern w:val="28"/>
      <w:sz w:val="32"/>
      <w:szCs w:val="32"/>
    </w:rPr>
  </w:style>
  <w:style w:type="paragraph" w:styleId="BlockText">
    <w:name w:val="Block Text"/>
    <w:basedOn w:val="Normal"/>
    <w:semiHidden/>
    <w:pPr>
      <w:spacing w:after="240"/>
      <w:ind w:left="1440" w:right="1440"/>
      <w:jc w:val="both"/>
    </w:pPr>
  </w:style>
  <w:style w:type="paragraph" w:styleId="BodyText">
    <w:name w:val="Body Text"/>
    <w:basedOn w:val="Normal"/>
    <w:semiHidden/>
    <w:pPr>
      <w:spacing w:after="240"/>
      <w:jc w:val="both"/>
    </w:pPr>
  </w:style>
  <w:style w:type="paragraph" w:customStyle="1" w:styleId="BodyTextDS">
    <w:name w:val="Body Text DS"/>
    <w:basedOn w:val="Normal"/>
    <w:pPr>
      <w:spacing w:line="480" w:lineRule="auto"/>
      <w:jc w:val="both"/>
    </w:pPr>
  </w:style>
  <w:style w:type="paragraph" w:customStyle="1" w:styleId="BodyTextDSFirstIndent">
    <w:name w:val="Body Text DS First Indent"/>
    <w:basedOn w:val="Normal"/>
    <w:pPr>
      <w:spacing w:line="480" w:lineRule="auto"/>
      <w:ind w:firstLine="720"/>
      <w:jc w:val="both"/>
    </w:pPr>
  </w:style>
  <w:style w:type="paragraph" w:styleId="BodyTextFirstIndent">
    <w:name w:val="Body Text First Indent"/>
    <w:basedOn w:val="Normal"/>
    <w:semiHidden/>
    <w:pPr>
      <w:spacing w:after="240"/>
      <w:ind w:firstLine="720"/>
      <w:jc w:val="both"/>
    </w:pPr>
  </w:style>
  <w:style w:type="character" w:customStyle="1" w:styleId="BoldCharacterStyle">
    <w:name w:val="Bold Character Style"/>
    <w:rPr>
      <w:b/>
    </w:rPr>
  </w:style>
  <w:style w:type="character" w:customStyle="1" w:styleId="BoldUnderlineCharacterStyle">
    <w:name w:val="Bold Underline Character Style"/>
    <w:rPr>
      <w:b/>
      <w:u w:val="single"/>
    </w:rPr>
  </w:style>
  <w:style w:type="paragraph" w:customStyle="1" w:styleId="Centered">
    <w:name w:val="Centered"/>
    <w:basedOn w:val="Normal"/>
    <w:pPr>
      <w:jc w:val="center"/>
    </w:pPr>
  </w:style>
  <w:style w:type="paragraph" w:styleId="Date">
    <w:name w:val="Date"/>
    <w:basedOn w:val="Normal"/>
    <w:next w:val="Normal"/>
    <w:semiHidden/>
    <w:pPr>
      <w:spacing w:after="600"/>
      <w:ind w:left="4320"/>
    </w:pPr>
  </w:style>
  <w:style w:type="paragraph" w:customStyle="1" w:styleId="Filename">
    <w:name w:val="Filename"/>
    <w:next w:val="Normal"/>
    <w:pPr>
      <w:spacing w:after="240"/>
      <w:jc w:val="center"/>
    </w:pPr>
    <w:rPr>
      <w:rFonts w:ascii="Arial" w:hAnsi="Arial"/>
      <w:sz w:val="16"/>
    </w:rPr>
  </w:style>
  <w:style w:type="character" w:customStyle="1" w:styleId="FilenameCharacterStyle">
    <w:name w:val="Filename Character Style"/>
    <w:rPr>
      <w:sz w:val="16"/>
    </w:rPr>
  </w:style>
  <w:style w:type="paragraph" w:customStyle="1" w:styleId="HeadingforINHABTISP">
    <w:name w:val="Heading for INHABTISP"/>
    <w:basedOn w:val="Normal"/>
    <w:pPr>
      <w:numPr>
        <w:numId w:val="16"/>
      </w:numPr>
      <w:jc w:val="both"/>
      <w:outlineLvl w:val="0"/>
    </w:pPr>
    <w:rPr>
      <w:u w:val="single"/>
    </w:rPr>
  </w:style>
  <w:style w:type="character" w:styleId="Hyperlink">
    <w:name w:val="Hyperlink"/>
    <w:semiHidden/>
    <w:rPr>
      <w:color w:val="0000FF"/>
      <w:u w:val="single"/>
    </w:rPr>
  </w:style>
  <w:style w:type="character" w:customStyle="1" w:styleId="ItalicCharacterStyle">
    <w:name w:val="Italic Character Style"/>
    <w:rPr>
      <w:i/>
    </w:rPr>
  </w:style>
  <w:style w:type="paragraph" w:customStyle="1" w:styleId="ParaDS">
    <w:name w:val="Para # DS"/>
    <w:basedOn w:val="Normal"/>
    <w:pPr>
      <w:numPr>
        <w:numId w:val="17"/>
      </w:numPr>
      <w:tabs>
        <w:tab w:val="clear" w:pos="1080"/>
      </w:tabs>
      <w:spacing w:line="480" w:lineRule="auto"/>
      <w:jc w:val="both"/>
    </w:pPr>
  </w:style>
  <w:style w:type="paragraph" w:customStyle="1" w:styleId="ParaDSIndentLevels">
    <w:name w:val="Para # DS Indent Levels"/>
    <w:basedOn w:val="Normal"/>
    <w:pPr>
      <w:numPr>
        <w:numId w:val="18"/>
      </w:numPr>
      <w:spacing w:line="480" w:lineRule="auto"/>
      <w:jc w:val="both"/>
    </w:pPr>
  </w:style>
  <w:style w:type="paragraph" w:customStyle="1" w:styleId="ParaOutline">
    <w:name w:val="Para # Outline"/>
    <w:basedOn w:val="Normal"/>
    <w:pPr>
      <w:spacing w:after="240"/>
      <w:jc w:val="both"/>
    </w:pPr>
  </w:style>
  <w:style w:type="paragraph" w:customStyle="1" w:styleId="ParaOutlineLevel2SS">
    <w:name w:val="Para # Outline Level 2 SS"/>
    <w:basedOn w:val="ParaOutline"/>
    <w:pPr>
      <w:numPr>
        <w:numId w:val="19"/>
      </w:numPr>
    </w:pPr>
  </w:style>
  <w:style w:type="paragraph" w:customStyle="1" w:styleId="ParaSS">
    <w:name w:val="Para # SS"/>
    <w:basedOn w:val="Normal"/>
    <w:pPr>
      <w:numPr>
        <w:numId w:val="36"/>
      </w:numPr>
      <w:spacing w:after="240"/>
      <w:jc w:val="both"/>
    </w:pPr>
  </w:style>
  <w:style w:type="paragraph" w:customStyle="1" w:styleId="ParaSSIndentLevels">
    <w:name w:val="Para # SS Indent Levels"/>
    <w:basedOn w:val="Normal"/>
    <w:pPr>
      <w:numPr>
        <w:numId w:val="21"/>
      </w:numPr>
      <w:spacing w:after="240"/>
      <w:jc w:val="both"/>
    </w:pPr>
  </w:style>
  <w:style w:type="paragraph" w:customStyle="1" w:styleId="PleadingPara">
    <w:name w:val="Pleading Para #"/>
    <w:basedOn w:val="BodyTextDS"/>
    <w:pPr>
      <w:numPr>
        <w:numId w:val="22"/>
      </w:numPr>
    </w:pPr>
  </w:style>
  <w:style w:type="paragraph" w:customStyle="1" w:styleId="RELine">
    <w:name w:val="RE Line"/>
    <w:basedOn w:val="Normal"/>
    <w:next w:val="Normal"/>
    <w:pPr>
      <w:pBdr>
        <w:bottom w:val="single" w:sz="4" w:space="1" w:color="auto"/>
      </w:pBdr>
      <w:spacing w:after="240"/>
      <w:ind w:left="4320"/>
    </w:pPr>
  </w:style>
  <w:style w:type="paragraph" w:styleId="Signature">
    <w:name w:val="Signature"/>
    <w:basedOn w:val="Normal"/>
    <w:semiHidden/>
    <w:pPr>
      <w:keepNext/>
      <w:keepLines/>
      <w:ind w:left="4320"/>
    </w:pPr>
  </w:style>
  <w:style w:type="paragraph" w:customStyle="1" w:styleId="SignatureCentered">
    <w:name w:val="Signature Centered"/>
    <w:basedOn w:val="Normal"/>
    <w:pPr>
      <w:ind w:left="4320"/>
      <w:jc w:val="center"/>
    </w:pPr>
  </w:style>
  <w:style w:type="paragraph" w:customStyle="1" w:styleId="TitleBoldNoUnderline">
    <w:name w:val="Title Bold No Underline"/>
    <w:basedOn w:val="Normal"/>
    <w:next w:val="BodyText"/>
    <w:pPr>
      <w:spacing w:after="240"/>
      <w:jc w:val="center"/>
    </w:pPr>
    <w:rPr>
      <w:b/>
    </w:rPr>
  </w:style>
  <w:style w:type="paragraph" w:customStyle="1" w:styleId="TitleNoBoldNoUnderline">
    <w:name w:val="Title No Bold No Underline"/>
    <w:basedOn w:val="Normal"/>
    <w:next w:val="BodyText"/>
    <w:pPr>
      <w:spacing w:after="240"/>
      <w:jc w:val="center"/>
    </w:pPr>
  </w:style>
  <w:style w:type="paragraph" w:customStyle="1" w:styleId="TitleUnderlineNoBold">
    <w:name w:val="Title Underline No Bold"/>
    <w:basedOn w:val="Normal"/>
    <w:next w:val="BodyText"/>
    <w:pPr>
      <w:keepNext/>
      <w:keepLines/>
      <w:spacing w:after="240"/>
      <w:jc w:val="center"/>
    </w:pPr>
    <w:rPr>
      <w:u w:val="single"/>
    </w:rPr>
  </w:style>
  <w:style w:type="character" w:customStyle="1" w:styleId="UnderlineCharacterStyle">
    <w:name w:val="Underline Character Style"/>
    <w:rPr>
      <w:u w:val="single"/>
    </w:rPr>
  </w:style>
  <w:style w:type="paragraph" w:customStyle="1" w:styleId="ArticleNo">
    <w:name w:val="Article No."/>
    <w:basedOn w:val="Normal"/>
    <w:next w:val="TitleUnderlineNoBold"/>
    <w:qFormat/>
    <w:pPr>
      <w:keepNext/>
      <w:keepLines/>
      <w:numPr>
        <w:numId w:val="23"/>
      </w:numPr>
      <w:spacing w:before="360" w:after="240"/>
      <w:jc w:val="center"/>
    </w:pPr>
  </w:style>
  <w:style w:type="character" w:styleId="FollowedHyperlink">
    <w:name w:val="FollowedHyperlink"/>
    <w:semiHidden/>
    <w:rPr>
      <w:color w:val="800080"/>
      <w:u w:val="single"/>
    </w:rPr>
  </w:style>
  <w:style w:type="character" w:customStyle="1" w:styleId="FooterChar">
    <w:name w:val="Footer Char"/>
    <w:link w:val="Footer"/>
    <w:uiPriority w:val="99"/>
    <w:rsid w:val="00AB4E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325F4-8DCF-4F61-A72C-72FA8A1950C5}">
  <ds:schemaRefs>
    <ds:schemaRef ds:uri="http://schemas.openxmlformats.org/officeDocument/2006/bibliography"/>
  </ds:schemaRefs>
</ds:datastoreItem>
</file>

<file path=customXml/itemProps2.xml><?xml version="1.0" encoding="utf-8"?>
<ds:datastoreItem xmlns:ds="http://schemas.openxmlformats.org/officeDocument/2006/customXml" ds:itemID="{74BFCB93-5A11-44A1-AD08-93F83CE6582E}">
  <ds:schemaRefs>
    <ds:schemaRef ds:uri="http://schemas.openxmlformats.org/officeDocument/2006/bibliography"/>
  </ds:schemaRefs>
</ds:datastoreItem>
</file>

<file path=customXml/itemProps3.xml><?xml version="1.0" encoding="utf-8"?>
<ds:datastoreItem xmlns:ds="http://schemas.openxmlformats.org/officeDocument/2006/customXml" ds:itemID="{5A3F8CB4-6C68-4D7D-8056-8766EC8520BE}">
  <ds:schemaRefs>
    <ds:schemaRef ds:uri="http://schemas.openxmlformats.org/officeDocument/2006/bibliography"/>
  </ds:schemaRefs>
</ds:datastoreItem>
</file>

<file path=customXml/itemProps4.xml><?xml version="1.0" encoding="utf-8"?>
<ds:datastoreItem xmlns:ds="http://schemas.openxmlformats.org/officeDocument/2006/customXml" ds:itemID="{12C835AE-229A-4ECE-BF7B-A0B63273E246}">
  <ds:schemaRefs>
    <ds:schemaRef ds:uri="http://schemas.openxmlformats.org/officeDocument/2006/bibliography"/>
  </ds:schemaRefs>
</ds:datastoreItem>
</file>

<file path=customXml/itemProps5.xml><?xml version="1.0" encoding="utf-8"?>
<ds:datastoreItem xmlns:ds="http://schemas.openxmlformats.org/officeDocument/2006/customXml" ds:itemID="{72D67D8F-9A67-4D1E-9D95-07E70739EC8C}">
  <ds:schemaRefs>
    <ds:schemaRef ds:uri="http://schemas.openxmlformats.org/officeDocument/2006/bibliography"/>
  </ds:schemaRefs>
</ds:datastoreItem>
</file>

<file path=customXml/itemProps6.xml><?xml version="1.0" encoding="utf-8"?>
<ds:datastoreItem xmlns:ds="http://schemas.openxmlformats.org/officeDocument/2006/customXml" ds:itemID="{78AC2A9E-29BF-4FCF-94FD-9FDD0CE605D8}">
  <ds:schemaRefs>
    <ds:schemaRef ds:uri="http://schemas.openxmlformats.org/officeDocument/2006/bibliography"/>
  </ds:schemaRefs>
</ds:datastoreItem>
</file>

<file path=customXml/itemProps7.xml><?xml version="1.0" encoding="utf-8"?>
<ds:datastoreItem xmlns:ds="http://schemas.openxmlformats.org/officeDocument/2006/customXml" ds:itemID="{DF20E98D-2339-47F2-B36B-19A06D49740B}">
  <ds:schemaRefs>
    <ds:schemaRef ds:uri="http://schemas.openxmlformats.org/officeDocument/2006/bibliography"/>
  </ds:schemaRefs>
</ds:datastoreItem>
</file>

<file path=customXml/itemProps8.xml><?xml version="1.0" encoding="utf-8"?>
<ds:datastoreItem xmlns:ds="http://schemas.openxmlformats.org/officeDocument/2006/customXml" ds:itemID="{9856E862-2D4D-4DF2-A994-6BCDA64F1423}">
  <ds:schemaRefs>
    <ds:schemaRef ds:uri="http://schemas.openxmlformats.org/officeDocument/2006/bibliography"/>
  </ds:schemaRefs>
</ds:datastoreItem>
</file>

<file path=customXml/itemProps9.xml><?xml version="1.0" encoding="utf-8"?>
<ds:datastoreItem xmlns:ds="http://schemas.openxmlformats.org/officeDocument/2006/customXml" ds:itemID="{3DE3539D-64F3-41E1-A312-2A1385D289B9}">
  <ds:schemaRefs>
    <ds:schemaRef ds:uri="http://schemas.openxmlformats.org/officeDocument/2006/bibliography"/>
  </ds:schemaRefs>
</ds:datastoreItem>
</file>

<file path=customXml/itemProps10.xml><?xml version="1.0" encoding="utf-8"?>
<ds:datastoreItem xmlns:ds="http://schemas.openxmlformats.org/officeDocument/2006/customXml" ds:itemID="{FCA9B896-7D49-42F0-8ED6-902048AA0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7144</Words>
  <Characters>37012</Characters>
  <Application>Microsoft Office Word</Application>
  <DocSecurity>0</DocSecurity>
  <Lines>560</Lines>
  <Paragraphs>141</Paragraphs>
  <ScaleCrop>false</ScaleCrop>
  <HeadingPairs>
    <vt:vector size="2" baseType="variant">
      <vt:variant>
        <vt:lpstr>Title</vt:lpstr>
      </vt:variant>
      <vt:variant>
        <vt:i4>1</vt:i4>
      </vt:variant>
    </vt:vector>
  </HeadingPairs>
  <TitlesOfParts>
    <vt:vector size="1" baseType="lpstr">
      <vt:lpstr>Open this document type in ProLaw, do a “Save Copy As…” then import the saved copy as the document type and make whatever chan</vt:lpstr>
    </vt:vector>
  </TitlesOfParts>
  <Company>Sutin, Thayer &amp; Browne</Company>
  <LinksUpToDate>false</LinksUpToDate>
  <CharactersWithSpaces>44015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this document type in ProLaw, do a “Save Copy As…” then import the saved copy as the document type and make whatever chan</dc:title>
  <dc:subject/>
  <dc:creator>Cristy Carbon-Gaul</dc:creator>
  <cp:keywords/>
  <cp:lastModifiedBy>Cristy Carbon-Gaul</cp:lastModifiedBy>
  <cp:revision>2</cp:revision>
  <cp:lastPrinted>1900-01-01T07:00:00Z</cp:lastPrinted>
  <dcterms:created xsi:type="dcterms:W3CDTF">2026-01-12T17:42:00Z</dcterms:created>
  <dcterms:modified xsi:type="dcterms:W3CDTF">2026-09-08T00:53:00Z</dcterms:modified>
</cp:coreProperties>
</file>